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557D" w14:textId="77777777" w:rsidR="00EE6A37" w:rsidRDefault="00EE6A37" w:rsidP="00BC2974">
      <w:pPr>
        <w:spacing w:after="0" w:line="360" w:lineRule="auto"/>
        <w:jc w:val="center"/>
        <w:rPr>
          <w:rFonts w:cs="Times New Roman"/>
          <w:b/>
          <w:bCs/>
          <w:sz w:val="28"/>
          <w:szCs w:val="28"/>
        </w:rPr>
      </w:pPr>
    </w:p>
    <w:p w14:paraId="42E0DE25" w14:textId="77777777" w:rsidR="00EE6A37" w:rsidRDefault="00EE6A37" w:rsidP="00BC2974">
      <w:pPr>
        <w:spacing w:after="0" w:line="360" w:lineRule="auto"/>
        <w:jc w:val="center"/>
        <w:rPr>
          <w:rFonts w:cs="Times New Roman"/>
          <w:b/>
          <w:bCs/>
          <w:sz w:val="28"/>
          <w:szCs w:val="28"/>
        </w:rPr>
      </w:pPr>
    </w:p>
    <w:p w14:paraId="5366C445" w14:textId="77777777" w:rsidR="00EE6A37" w:rsidRDefault="00EE6A37" w:rsidP="00BC2974">
      <w:pPr>
        <w:spacing w:after="0" w:line="360" w:lineRule="auto"/>
        <w:jc w:val="center"/>
        <w:rPr>
          <w:rFonts w:cs="Times New Roman"/>
          <w:b/>
          <w:bCs/>
          <w:sz w:val="28"/>
          <w:szCs w:val="28"/>
        </w:rPr>
      </w:pPr>
    </w:p>
    <w:p w14:paraId="7BE132A3" w14:textId="77777777" w:rsidR="00EE6A37" w:rsidRDefault="00EE6A37" w:rsidP="00BC2974">
      <w:pPr>
        <w:spacing w:after="0" w:line="360" w:lineRule="auto"/>
        <w:jc w:val="center"/>
        <w:rPr>
          <w:rFonts w:cs="Times New Roman"/>
          <w:b/>
          <w:bCs/>
          <w:sz w:val="28"/>
          <w:szCs w:val="28"/>
        </w:rPr>
      </w:pPr>
    </w:p>
    <w:p w14:paraId="5983D6DB" w14:textId="77777777" w:rsidR="00EE6A37" w:rsidRDefault="00EE6A37" w:rsidP="00BC2974">
      <w:pPr>
        <w:spacing w:after="0" w:line="360" w:lineRule="auto"/>
        <w:jc w:val="center"/>
        <w:rPr>
          <w:rFonts w:cs="Times New Roman"/>
          <w:b/>
          <w:bCs/>
          <w:sz w:val="28"/>
          <w:szCs w:val="28"/>
        </w:rPr>
      </w:pPr>
    </w:p>
    <w:p w14:paraId="5F751E30" w14:textId="096096BF" w:rsidR="00363AE6" w:rsidRDefault="009F59DC" w:rsidP="00BC2974">
      <w:pPr>
        <w:spacing w:after="0" w:line="360" w:lineRule="auto"/>
        <w:jc w:val="center"/>
        <w:rPr>
          <w:rFonts w:cs="Times New Roman"/>
          <w:sz w:val="28"/>
          <w:szCs w:val="28"/>
        </w:rPr>
      </w:pPr>
      <w:r w:rsidRPr="002611FE">
        <w:rPr>
          <w:rFonts w:cs="Times New Roman"/>
          <w:b/>
          <w:bCs/>
          <w:sz w:val="28"/>
          <w:szCs w:val="28"/>
        </w:rPr>
        <w:t>Organizaciones saludables en frontera colombo-venezolana: validación del modelo HERO en microempresas de Villa del Rosario (Colombia</w:t>
      </w:r>
      <w:r w:rsidRPr="002611FE">
        <w:rPr>
          <w:rFonts w:cs="Times New Roman"/>
          <w:sz w:val="28"/>
          <w:szCs w:val="28"/>
        </w:rPr>
        <w:t>)</w:t>
      </w:r>
    </w:p>
    <w:p w14:paraId="3D655560" w14:textId="77777777" w:rsidR="00963998" w:rsidRDefault="00963998" w:rsidP="00BC2974">
      <w:pPr>
        <w:spacing w:after="0" w:line="360" w:lineRule="auto"/>
        <w:jc w:val="center"/>
        <w:rPr>
          <w:rFonts w:cs="Times New Roman"/>
          <w:sz w:val="28"/>
          <w:szCs w:val="28"/>
        </w:rPr>
      </w:pPr>
    </w:p>
    <w:p w14:paraId="6AAE6CA2" w14:textId="4920EB38" w:rsidR="00EE6A37" w:rsidRDefault="00EE6A37" w:rsidP="00BC2974">
      <w:pPr>
        <w:spacing w:after="0" w:line="360" w:lineRule="auto"/>
        <w:jc w:val="center"/>
        <w:rPr>
          <w:rFonts w:cs="Times New Roman"/>
          <w:b/>
          <w:bCs/>
          <w:sz w:val="28"/>
          <w:szCs w:val="28"/>
          <w:lang w:val="en-US"/>
        </w:rPr>
      </w:pPr>
      <w:r w:rsidRPr="00EE6A37">
        <w:rPr>
          <w:rFonts w:cs="Times New Roman"/>
          <w:b/>
          <w:bCs/>
          <w:sz w:val="28"/>
          <w:szCs w:val="28"/>
          <w:lang w:val="en-US"/>
        </w:rPr>
        <w:t xml:space="preserve">Healthy Organizations on the </w:t>
      </w:r>
      <w:proofErr w:type="gramStart"/>
      <w:r w:rsidRPr="00EE6A37">
        <w:rPr>
          <w:rFonts w:cs="Times New Roman"/>
          <w:b/>
          <w:bCs/>
          <w:sz w:val="28"/>
          <w:szCs w:val="28"/>
          <w:lang w:val="en-US"/>
        </w:rPr>
        <w:t>Colombian-Venezuelan</w:t>
      </w:r>
      <w:proofErr w:type="gramEnd"/>
      <w:r w:rsidRPr="00EE6A37">
        <w:rPr>
          <w:rFonts w:cs="Times New Roman"/>
          <w:b/>
          <w:bCs/>
          <w:sz w:val="28"/>
          <w:szCs w:val="28"/>
          <w:lang w:val="en-US"/>
        </w:rPr>
        <w:t xml:space="preserve"> Border: Validation of the HERO Model in Microenterprises in Villa del Rosario (Colombia)</w:t>
      </w:r>
    </w:p>
    <w:p w14:paraId="0B6ACAA6" w14:textId="77777777" w:rsidR="00EE6A37" w:rsidRDefault="00EE6A37" w:rsidP="00BC2974">
      <w:pPr>
        <w:spacing w:after="0" w:line="360" w:lineRule="auto"/>
        <w:jc w:val="center"/>
        <w:rPr>
          <w:rFonts w:cs="Times New Roman"/>
          <w:b/>
          <w:bCs/>
          <w:sz w:val="28"/>
          <w:szCs w:val="28"/>
          <w:lang w:val="en-US"/>
        </w:rPr>
      </w:pPr>
    </w:p>
    <w:p w14:paraId="125E0BA5" w14:textId="77777777" w:rsidR="00EE6A37" w:rsidRPr="00EE6A37" w:rsidRDefault="00EE6A37" w:rsidP="00BC2974">
      <w:pPr>
        <w:spacing w:after="0" w:line="360" w:lineRule="auto"/>
        <w:jc w:val="center"/>
        <w:rPr>
          <w:rFonts w:cs="Times New Roman"/>
          <w:sz w:val="28"/>
          <w:szCs w:val="28"/>
          <w:lang w:val="en-US"/>
        </w:rPr>
      </w:pPr>
    </w:p>
    <w:p w14:paraId="2B14098E" w14:textId="77777777" w:rsidR="0018444D" w:rsidRPr="00EE6A37" w:rsidRDefault="0018444D" w:rsidP="005453D3">
      <w:pPr>
        <w:spacing w:after="0" w:line="240" w:lineRule="auto"/>
        <w:jc w:val="both"/>
        <w:rPr>
          <w:rFonts w:cs="Times New Roman"/>
          <w:szCs w:val="24"/>
          <w:lang w:val="en-US"/>
        </w:rPr>
      </w:pPr>
    </w:p>
    <w:p w14:paraId="3ABF5890" w14:textId="28401874" w:rsidR="002972B0" w:rsidRPr="005D4511" w:rsidRDefault="0063600D" w:rsidP="005D4511">
      <w:pPr>
        <w:spacing w:after="0" w:line="240" w:lineRule="auto"/>
        <w:jc w:val="center"/>
        <w:rPr>
          <w:rFonts w:cs="Times New Roman"/>
          <w:szCs w:val="24"/>
          <w:vertAlign w:val="superscript"/>
        </w:rPr>
      </w:pPr>
      <w:r w:rsidRPr="005D4511">
        <w:rPr>
          <w:rFonts w:cs="Times New Roman"/>
          <w:szCs w:val="24"/>
        </w:rPr>
        <w:t>Luz Marina Herrera León</w:t>
      </w:r>
    </w:p>
    <w:p w14:paraId="59B56D32" w14:textId="77777777" w:rsidR="002972B0" w:rsidRPr="005D4511" w:rsidRDefault="0063600D" w:rsidP="005D4511">
      <w:pPr>
        <w:spacing w:after="0" w:line="240" w:lineRule="auto"/>
        <w:jc w:val="center"/>
        <w:rPr>
          <w:rFonts w:cs="Times New Roman"/>
          <w:szCs w:val="24"/>
        </w:rPr>
      </w:pPr>
      <w:r w:rsidRPr="005D4511">
        <w:rPr>
          <w:rFonts w:cs="Times New Roman"/>
          <w:szCs w:val="24"/>
        </w:rPr>
        <w:t>Facultad de Ingenierías, Universidad de Pamplona, Colombia</w:t>
      </w:r>
    </w:p>
    <w:p w14:paraId="202AEBAF" w14:textId="77777777" w:rsidR="00217D65" w:rsidRPr="005D4511" w:rsidRDefault="00366953" w:rsidP="005D4511">
      <w:pPr>
        <w:spacing w:after="0" w:line="240" w:lineRule="auto"/>
        <w:jc w:val="center"/>
        <w:rPr>
          <w:rFonts w:cs="Times New Roman"/>
          <w:szCs w:val="24"/>
        </w:rPr>
      </w:pPr>
      <w:hyperlink r:id="rId8" w:history="1">
        <w:r w:rsidRPr="005D4511">
          <w:rPr>
            <w:rStyle w:val="Hipervnculo"/>
            <w:rFonts w:cs="Times New Roman"/>
            <w:szCs w:val="24"/>
          </w:rPr>
          <w:t>lmherrera@unipamplona.edu.co</w:t>
        </w:r>
      </w:hyperlink>
    </w:p>
    <w:p w14:paraId="033976FA" w14:textId="3A1DE084" w:rsidR="005D4511" w:rsidRPr="005D4511" w:rsidRDefault="005D4511" w:rsidP="005D4511">
      <w:pPr>
        <w:spacing w:after="0" w:line="240" w:lineRule="auto"/>
        <w:jc w:val="center"/>
        <w:rPr>
          <w:rFonts w:cs="Times New Roman"/>
          <w:szCs w:val="24"/>
        </w:rPr>
      </w:pPr>
      <w:r w:rsidRPr="005D4511">
        <w:rPr>
          <w:rFonts w:cs="Times New Roman"/>
          <w:szCs w:val="24"/>
        </w:rPr>
        <w:t xml:space="preserve">ORCID: </w:t>
      </w:r>
      <w:hyperlink r:id="rId9" w:history="1">
        <w:r w:rsidRPr="005D4511">
          <w:rPr>
            <w:rStyle w:val="Hipervnculo"/>
            <w:rFonts w:cs="Times New Roman"/>
            <w:szCs w:val="24"/>
            <w:lang w:val="es-CO"/>
          </w:rPr>
          <w:t>https://orcid.org/0000-0002-1321-5110</w:t>
        </w:r>
      </w:hyperlink>
    </w:p>
    <w:p w14:paraId="5FFEC4AC" w14:textId="77777777" w:rsidR="005453D3" w:rsidRPr="005D4511" w:rsidRDefault="005453D3" w:rsidP="005D4511">
      <w:pPr>
        <w:spacing w:after="0" w:line="240" w:lineRule="auto"/>
        <w:jc w:val="center"/>
        <w:rPr>
          <w:rFonts w:cs="Times New Roman"/>
          <w:szCs w:val="24"/>
        </w:rPr>
      </w:pPr>
    </w:p>
    <w:p w14:paraId="0E043D49" w14:textId="2D7D3A50" w:rsidR="00CF5B4E" w:rsidRPr="005D4511" w:rsidRDefault="0018444D" w:rsidP="005D4511">
      <w:pPr>
        <w:spacing w:after="0" w:line="240" w:lineRule="auto"/>
        <w:jc w:val="center"/>
        <w:rPr>
          <w:rFonts w:cs="Times New Roman"/>
          <w:szCs w:val="24"/>
          <w:vertAlign w:val="superscript"/>
        </w:rPr>
      </w:pPr>
      <w:r w:rsidRPr="005D4511">
        <w:rPr>
          <w:rFonts w:cs="Times New Roman"/>
          <w:szCs w:val="24"/>
        </w:rPr>
        <w:t>Mary Luz Ordoñez Santos</w:t>
      </w:r>
    </w:p>
    <w:p w14:paraId="48F57A39" w14:textId="12D199C1" w:rsidR="002972B0" w:rsidRPr="005D4511" w:rsidRDefault="0018444D" w:rsidP="005D4511">
      <w:pPr>
        <w:spacing w:after="0" w:line="240" w:lineRule="auto"/>
        <w:jc w:val="center"/>
        <w:rPr>
          <w:rFonts w:cs="Times New Roman"/>
          <w:szCs w:val="24"/>
        </w:rPr>
      </w:pPr>
      <w:r w:rsidRPr="005D4511">
        <w:rPr>
          <w:rFonts w:cs="Times New Roman"/>
          <w:szCs w:val="24"/>
        </w:rPr>
        <w:t>Facultad de Ciencias Económicas, Universidad de Pamplona, Colombia</w:t>
      </w:r>
    </w:p>
    <w:p w14:paraId="0C5EBC52" w14:textId="77777777" w:rsidR="0018444D" w:rsidRPr="005D4511" w:rsidRDefault="0018444D" w:rsidP="005D4511">
      <w:pPr>
        <w:spacing w:after="0" w:line="240" w:lineRule="auto"/>
        <w:jc w:val="center"/>
        <w:rPr>
          <w:rFonts w:cs="Times New Roman"/>
          <w:szCs w:val="24"/>
        </w:rPr>
      </w:pPr>
      <w:hyperlink r:id="rId10" w:history="1">
        <w:r w:rsidRPr="005D4511">
          <w:rPr>
            <w:rStyle w:val="Hipervnculo"/>
            <w:rFonts w:cs="Times New Roman"/>
            <w:szCs w:val="24"/>
          </w:rPr>
          <w:t>maryluz@unipamplona.edu.co</w:t>
        </w:r>
      </w:hyperlink>
    </w:p>
    <w:p w14:paraId="23602AB7" w14:textId="77777777" w:rsidR="005D4511" w:rsidRPr="005D4511" w:rsidRDefault="005D4511" w:rsidP="005D4511">
      <w:pPr>
        <w:pStyle w:val="Textonotapie"/>
        <w:jc w:val="center"/>
        <w:rPr>
          <w:rFonts w:cs="Times New Roman"/>
          <w:sz w:val="24"/>
          <w:szCs w:val="24"/>
          <w:lang w:val="es-CO"/>
        </w:rPr>
      </w:pPr>
      <w:r w:rsidRPr="005D4511">
        <w:rPr>
          <w:rFonts w:cs="Times New Roman"/>
          <w:sz w:val="24"/>
          <w:szCs w:val="24"/>
        </w:rPr>
        <w:t xml:space="preserve">ORCID: </w:t>
      </w:r>
      <w:hyperlink r:id="rId11" w:history="1">
        <w:r w:rsidRPr="005D4511">
          <w:rPr>
            <w:rStyle w:val="Hipervnculo"/>
            <w:rFonts w:cs="Times New Roman"/>
            <w:sz w:val="24"/>
            <w:szCs w:val="24"/>
            <w:lang w:val="es-CO"/>
          </w:rPr>
          <w:t>https://orcid.org/0000-0003-2281-5449</w:t>
        </w:r>
      </w:hyperlink>
    </w:p>
    <w:p w14:paraId="3073CA37" w14:textId="3B5372BE" w:rsidR="005D4511" w:rsidRPr="00893253" w:rsidRDefault="005D4511" w:rsidP="005453D3">
      <w:pPr>
        <w:spacing w:after="0" w:line="240" w:lineRule="auto"/>
        <w:jc w:val="center"/>
        <w:rPr>
          <w:rFonts w:cs="Times New Roman"/>
          <w:szCs w:val="24"/>
        </w:rPr>
      </w:pPr>
    </w:p>
    <w:p w14:paraId="12991661" w14:textId="69908FB7" w:rsidR="00FF6C7E" w:rsidRDefault="00FF6C7E" w:rsidP="000D1D85">
      <w:pPr>
        <w:spacing w:after="0" w:line="360" w:lineRule="auto"/>
        <w:jc w:val="both"/>
        <w:rPr>
          <w:rFonts w:cs="Times New Roman"/>
          <w:szCs w:val="24"/>
        </w:rPr>
      </w:pPr>
    </w:p>
    <w:p w14:paraId="5616539F" w14:textId="77777777" w:rsidR="00EE6A37" w:rsidRDefault="00EE6A37" w:rsidP="000D1D85">
      <w:pPr>
        <w:spacing w:after="0" w:line="360" w:lineRule="auto"/>
        <w:jc w:val="both"/>
        <w:rPr>
          <w:rFonts w:cs="Times New Roman"/>
          <w:szCs w:val="24"/>
        </w:rPr>
      </w:pPr>
    </w:p>
    <w:p w14:paraId="6D4E3770" w14:textId="77777777" w:rsidR="00EE6A37" w:rsidRDefault="00EE6A37" w:rsidP="000D1D85">
      <w:pPr>
        <w:spacing w:after="0" w:line="360" w:lineRule="auto"/>
        <w:jc w:val="both"/>
        <w:rPr>
          <w:rFonts w:cs="Times New Roman"/>
          <w:szCs w:val="24"/>
        </w:rPr>
      </w:pPr>
    </w:p>
    <w:p w14:paraId="76BB415A" w14:textId="77777777" w:rsidR="00EE6A37" w:rsidRDefault="00EE6A37" w:rsidP="000D1D85">
      <w:pPr>
        <w:spacing w:after="0" w:line="360" w:lineRule="auto"/>
        <w:jc w:val="both"/>
        <w:rPr>
          <w:rFonts w:cs="Times New Roman"/>
          <w:szCs w:val="24"/>
        </w:rPr>
      </w:pPr>
    </w:p>
    <w:p w14:paraId="5A5E911C" w14:textId="77777777" w:rsidR="00EE6A37" w:rsidRDefault="00EE6A37" w:rsidP="000D1D85">
      <w:pPr>
        <w:spacing w:after="0" w:line="360" w:lineRule="auto"/>
        <w:jc w:val="both"/>
        <w:rPr>
          <w:rFonts w:cs="Times New Roman"/>
          <w:szCs w:val="24"/>
        </w:rPr>
      </w:pPr>
    </w:p>
    <w:p w14:paraId="3D7E5D79" w14:textId="77777777" w:rsidR="00EE6A37" w:rsidRDefault="00EE6A37" w:rsidP="000D1D85">
      <w:pPr>
        <w:spacing w:after="0" w:line="360" w:lineRule="auto"/>
        <w:jc w:val="both"/>
        <w:rPr>
          <w:rFonts w:cs="Times New Roman"/>
          <w:szCs w:val="24"/>
        </w:rPr>
      </w:pPr>
    </w:p>
    <w:p w14:paraId="2563C0A4" w14:textId="77777777" w:rsidR="00EE6A37" w:rsidRDefault="00EE6A37" w:rsidP="000D1D85">
      <w:pPr>
        <w:spacing w:after="0" w:line="360" w:lineRule="auto"/>
        <w:jc w:val="both"/>
        <w:rPr>
          <w:rFonts w:cs="Times New Roman"/>
          <w:szCs w:val="24"/>
        </w:rPr>
      </w:pPr>
    </w:p>
    <w:p w14:paraId="0629A54B" w14:textId="77777777" w:rsidR="00EE6A37" w:rsidRDefault="00EE6A37" w:rsidP="000D1D85">
      <w:pPr>
        <w:spacing w:after="0" w:line="360" w:lineRule="auto"/>
        <w:jc w:val="both"/>
        <w:rPr>
          <w:rFonts w:cs="Times New Roman"/>
          <w:szCs w:val="24"/>
        </w:rPr>
      </w:pPr>
    </w:p>
    <w:p w14:paraId="06A868CA" w14:textId="77777777" w:rsidR="005D4511" w:rsidRDefault="005453D3" w:rsidP="00180C6C">
      <w:pPr>
        <w:spacing w:after="0" w:line="360" w:lineRule="auto"/>
        <w:jc w:val="center"/>
        <w:rPr>
          <w:rFonts w:cs="Times New Roman"/>
          <w:b/>
          <w:bCs/>
          <w:szCs w:val="24"/>
        </w:rPr>
      </w:pPr>
      <w:r>
        <w:rPr>
          <w:rFonts w:cs="Times New Roman"/>
          <w:b/>
          <w:bCs/>
          <w:szCs w:val="24"/>
        </w:rPr>
        <w:lastRenderedPageBreak/>
        <w:t>R</w:t>
      </w:r>
      <w:r w:rsidRPr="00893253">
        <w:rPr>
          <w:rFonts w:cs="Times New Roman"/>
          <w:b/>
          <w:bCs/>
          <w:szCs w:val="24"/>
        </w:rPr>
        <w:t>esumen</w:t>
      </w:r>
    </w:p>
    <w:p w14:paraId="57B8AB3E" w14:textId="7C41E2D8" w:rsidR="008225A4" w:rsidRDefault="008225A4" w:rsidP="005D4511">
      <w:pPr>
        <w:spacing w:after="0" w:line="360" w:lineRule="auto"/>
        <w:jc w:val="center"/>
        <w:rPr>
          <w:rFonts w:cs="Times New Roman"/>
          <w:szCs w:val="24"/>
        </w:rPr>
      </w:pPr>
      <w:r w:rsidRPr="00893253">
        <w:rPr>
          <w:rFonts w:cs="Times New Roman"/>
          <w:szCs w:val="24"/>
        </w:rPr>
        <w:t>El presente estudio valida el modelo HERO (</w:t>
      </w:r>
      <w:proofErr w:type="spellStart"/>
      <w:r w:rsidRPr="00893253">
        <w:rPr>
          <w:rFonts w:cs="Times New Roman"/>
          <w:szCs w:val="24"/>
        </w:rPr>
        <w:t>Healthy</w:t>
      </w:r>
      <w:proofErr w:type="spellEnd"/>
      <w:r w:rsidRPr="00893253">
        <w:rPr>
          <w:rFonts w:cs="Times New Roman"/>
          <w:szCs w:val="24"/>
        </w:rPr>
        <w:t xml:space="preserve"> and </w:t>
      </w:r>
      <w:proofErr w:type="spellStart"/>
      <w:r w:rsidRPr="00893253">
        <w:rPr>
          <w:rFonts w:cs="Times New Roman"/>
          <w:szCs w:val="24"/>
        </w:rPr>
        <w:t>Resilient</w:t>
      </w:r>
      <w:proofErr w:type="spellEnd"/>
      <w:r w:rsidRPr="00893253">
        <w:rPr>
          <w:rFonts w:cs="Times New Roman"/>
          <w:szCs w:val="24"/>
        </w:rPr>
        <w:t xml:space="preserve"> </w:t>
      </w:r>
      <w:proofErr w:type="spellStart"/>
      <w:r w:rsidRPr="00893253">
        <w:rPr>
          <w:rFonts w:cs="Times New Roman"/>
          <w:szCs w:val="24"/>
        </w:rPr>
        <w:t>Organization</w:t>
      </w:r>
      <w:proofErr w:type="spellEnd"/>
      <w:r w:rsidRPr="00893253">
        <w:rPr>
          <w:rFonts w:cs="Times New Roman"/>
          <w:szCs w:val="24"/>
        </w:rPr>
        <w:t xml:space="preserve">) en microempresas ubicadas en el municipio de Villa del Rosario, Colombia. Esta es una zona con alta migración y vulnerabilidad socioeconómica. Utilizando un enfoque </w:t>
      </w:r>
      <w:proofErr w:type="spellStart"/>
      <w:proofErr w:type="gramStart"/>
      <w:r w:rsidRPr="00893253">
        <w:rPr>
          <w:rFonts w:cs="Times New Roman"/>
          <w:szCs w:val="24"/>
        </w:rPr>
        <w:t>cuasi-experimental</w:t>
      </w:r>
      <w:proofErr w:type="spellEnd"/>
      <w:proofErr w:type="gramEnd"/>
      <w:r w:rsidRPr="00893253">
        <w:rPr>
          <w:rFonts w:cs="Times New Roman"/>
          <w:szCs w:val="24"/>
        </w:rPr>
        <w:t xml:space="preserve"> y modelado de ecuaciones estructurales con mínimos cuadrados parciales (PLS-SEM) a través de </w:t>
      </w:r>
      <w:proofErr w:type="spellStart"/>
      <w:r w:rsidRPr="00893253">
        <w:rPr>
          <w:rFonts w:cs="Times New Roman"/>
          <w:szCs w:val="24"/>
        </w:rPr>
        <w:t>SmartPLS</w:t>
      </w:r>
      <w:proofErr w:type="spellEnd"/>
      <w:r w:rsidRPr="00893253">
        <w:rPr>
          <w:rFonts w:cs="Times New Roman"/>
          <w:szCs w:val="24"/>
        </w:rPr>
        <w:t xml:space="preserve"> 4.0, se procesaron 124 microempresas. El modelo examina el impacto de las prácticas de organización saludables, el empoderamiento del personal, el compromiso de la gerencia y el sentido de pertenencia, junto con el uso de herramientas digitales, en la satisfacción del cliente como un resultado organizativo. Los resultados muestran una relación positiva y significativa entre un liderazgo saludable, el empoderamiento y los resultados empresariales, incluso en condiciones informales y de presión humanitaria. La salud organizativa puede actuar como un mecanismo micro institucional de resiliencia socioeconómica en áreas fronterizas. Este estudio aporta a la literatura empírica al presentar evidencias relacionadas con su aplicabilidad en microempresas del Sur Global en contextos humanitarios complejos.</w:t>
      </w:r>
    </w:p>
    <w:p w14:paraId="03630178" w14:textId="77777777" w:rsidR="00132217" w:rsidRPr="00893253" w:rsidRDefault="00132217" w:rsidP="00235208">
      <w:pPr>
        <w:spacing w:after="0" w:line="360" w:lineRule="auto"/>
        <w:jc w:val="both"/>
        <w:rPr>
          <w:rFonts w:cs="Times New Roman"/>
          <w:szCs w:val="24"/>
        </w:rPr>
      </w:pPr>
    </w:p>
    <w:p w14:paraId="648D334B" w14:textId="5714E597" w:rsidR="000C30CB" w:rsidRPr="00893253" w:rsidRDefault="000C30CB" w:rsidP="005D4511">
      <w:pPr>
        <w:spacing w:after="0" w:line="360" w:lineRule="auto"/>
        <w:jc w:val="center"/>
        <w:rPr>
          <w:rFonts w:cs="Times New Roman"/>
          <w:szCs w:val="24"/>
        </w:rPr>
      </w:pPr>
      <w:r w:rsidRPr="00235208">
        <w:rPr>
          <w:rFonts w:cs="Times New Roman"/>
          <w:b/>
          <w:bCs/>
          <w:szCs w:val="24"/>
        </w:rPr>
        <w:t>Palabras clave:</w:t>
      </w:r>
      <w:r w:rsidRPr="00893253">
        <w:rPr>
          <w:rFonts w:cs="Times New Roman"/>
          <w:szCs w:val="24"/>
        </w:rPr>
        <w:t xml:space="preserve"> modelo HERO, organizaciones saludables, microempresas, contexto humanitario, frontera colombo-venezolana.</w:t>
      </w:r>
    </w:p>
    <w:p w14:paraId="3B4C2717" w14:textId="77777777" w:rsidR="00893253" w:rsidRDefault="00893253" w:rsidP="00235208">
      <w:pPr>
        <w:spacing w:after="0" w:line="360" w:lineRule="auto"/>
        <w:jc w:val="both"/>
        <w:rPr>
          <w:rFonts w:cs="Times New Roman"/>
          <w:szCs w:val="24"/>
        </w:rPr>
      </w:pPr>
    </w:p>
    <w:p w14:paraId="2274A9B0" w14:textId="77777777" w:rsidR="005D4511" w:rsidRPr="00893253" w:rsidRDefault="005D4511" w:rsidP="00235208">
      <w:pPr>
        <w:spacing w:after="0" w:line="360" w:lineRule="auto"/>
        <w:jc w:val="both"/>
        <w:rPr>
          <w:rFonts w:cs="Times New Roman"/>
          <w:szCs w:val="24"/>
        </w:rPr>
      </w:pPr>
    </w:p>
    <w:p w14:paraId="1854D3BC" w14:textId="3832D14D" w:rsidR="0091459F" w:rsidRPr="002611FE" w:rsidRDefault="00235208" w:rsidP="00180C6C">
      <w:pPr>
        <w:spacing w:after="0" w:line="360" w:lineRule="auto"/>
        <w:jc w:val="center"/>
        <w:rPr>
          <w:rFonts w:cs="Times New Roman"/>
          <w:b/>
          <w:bCs/>
          <w:szCs w:val="24"/>
          <w:lang w:val="en-US"/>
        </w:rPr>
      </w:pPr>
      <w:r w:rsidRPr="002611FE">
        <w:rPr>
          <w:rFonts w:cs="Times New Roman"/>
          <w:b/>
          <w:bCs/>
          <w:szCs w:val="24"/>
          <w:lang w:val="en-US"/>
        </w:rPr>
        <w:t>Abstract</w:t>
      </w:r>
    </w:p>
    <w:p w14:paraId="080FAF30" w14:textId="205FB35A" w:rsidR="00345940" w:rsidRPr="002611FE" w:rsidRDefault="00345940" w:rsidP="005D4511">
      <w:pPr>
        <w:spacing w:before="240" w:after="0" w:line="360" w:lineRule="auto"/>
        <w:jc w:val="center"/>
        <w:rPr>
          <w:rFonts w:cs="Times New Roman"/>
          <w:szCs w:val="24"/>
          <w:lang w:val="en-US"/>
        </w:rPr>
      </w:pPr>
      <w:bookmarkStart w:id="0" w:name="_Hlk195211052"/>
      <w:bookmarkStart w:id="1" w:name="_Hlk195213050"/>
      <w:r w:rsidRPr="002611FE">
        <w:rPr>
          <w:rFonts w:cs="Times New Roman"/>
          <w:szCs w:val="24"/>
          <w:lang w:val="en-US"/>
        </w:rPr>
        <w:t xml:space="preserve">This study empirically validates the HERO model (Healthy and Resilient Organization) in microenterprises located in Villa del Rosario, Colombia, a border territory characterized by high migratory pressure and socioeconomic vulnerability. Using a quantitative approach and partial least squares structural equation modeling (PLS‑SEM) with </w:t>
      </w:r>
      <w:proofErr w:type="spellStart"/>
      <w:r w:rsidRPr="002611FE">
        <w:rPr>
          <w:rFonts w:cs="Times New Roman"/>
          <w:szCs w:val="24"/>
          <w:lang w:val="en-US"/>
        </w:rPr>
        <w:t>SmartPLS</w:t>
      </w:r>
      <w:proofErr w:type="spellEnd"/>
      <w:r w:rsidRPr="002611FE">
        <w:rPr>
          <w:rFonts w:cs="Times New Roman"/>
          <w:szCs w:val="24"/>
          <w:lang w:val="en-US"/>
        </w:rPr>
        <w:t xml:space="preserve"> 4.0, data from 124 microenterprises were analyzed. The model assessed the impact of healthy organizational practices —employee empowerment, managerial commitment, and sense of belonging— together with digital tool adoption on customer satisfaction.</w:t>
      </w:r>
      <w:r w:rsidR="005D4511">
        <w:rPr>
          <w:rFonts w:cs="Times New Roman"/>
          <w:szCs w:val="24"/>
          <w:lang w:val="en-US"/>
        </w:rPr>
        <w:t xml:space="preserve"> </w:t>
      </w:r>
      <w:r w:rsidRPr="002611FE">
        <w:rPr>
          <w:rFonts w:cs="Times New Roman"/>
          <w:szCs w:val="24"/>
          <w:lang w:val="en-US"/>
        </w:rPr>
        <w:t xml:space="preserve">Results confirm significant positive relationships between healthy leadership, empowerment, and business outcomes, even under informality and humanitarian pressure. Findings suggest that organizational health can function as a </w:t>
      </w:r>
      <w:r w:rsidRPr="002611FE">
        <w:rPr>
          <w:rFonts w:cs="Times New Roman"/>
          <w:szCs w:val="24"/>
          <w:lang w:val="en-US"/>
        </w:rPr>
        <w:lastRenderedPageBreak/>
        <w:t xml:space="preserve">micro‑institutional mechanism of socioeconomic resilience in border territories. This study contributes to the literature by providing situated evidence on the applicability of the HERO model in Global South </w:t>
      </w:r>
      <w:proofErr w:type="gramStart"/>
      <w:r w:rsidRPr="002611FE">
        <w:rPr>
          <w:rFonts w:cs="Times New Roman"/>
          <w:szCs w:val="24"/>
          <w:lang w:val="en-US"/>
        </w:rPr>
        <w:t>microenterprises</w:t>
      </w:r>
      <w:proofErr w:type="gramEnd"/>
      <w:r w:rsidRPr="002611FE">
        <w:rPr>
          <w:rFonts w:cs="Times New Roman"/>
          <w:szCs w:val="24"/>
          <w:lang w:val="en-US"/>
        </w:rPr>
        <w:t xml:space="preserve"> operating in complex humanitarian contexts.</w:t>
      </w:r>
    </w:p>
    <w:p w14:paraId="5CC07CC8" w14:textId="77777777" w:rsidR="00345940" w:rsidRPr="002611FE" w:rsidRDefault="00345940" w:rsidP="00235208">
      <w:pPr>
        <w:spacing w:after="0" w:line="360" w:lineRule="auto"/>
        <w:jc w:val="both"/>
        <w:rPr>
          <w:rFonts w:cs="Times New Roman"/>
          <w:szCs w:val="24"/>
          <w:lang w:val="en-US"/>
        </w:rPr>
      </w:pPr>
    </w:p>
    <w:p w14:paraId="329D0C4F" w14:textId="5F7FF546" w:rsidR="00713D4E" w:rsidRPr="002611FE" w:rsidRDefault="00345940" w:rsidP="005D4511">
      <w:pPr>
        <w:spacing w:after="0" w:line="360" w:lineRule="auto"/>
        <w:jc w:val="center"/>
        <w:rPr>
          <w:rFonts w:cs="Times New Roman"/>
          <w:szCs w:val="24"/>
          <w:lang w:val="en-US"/>
        </w:rPr>
      </w:pPr>
      <w:r w:rsidRPr="00235208">
        <w:rPr>
          <w:rFonts w:cs="Times New Roman"/>
          <w:b/>
          <w:bCs/>
          <w:szCs w:val="24"/>
          <w:lang w:val="en-US"/>
        </w:rPr>
        <w:t>Keywords:</w:t>
      </w:r>
      <w:r w:rsidRPr="002611FE">
        <w:rPr>
          <w:rFonts w:cs="Times New Roman"/>
          <w:szCs w:val="24"/>
          <w:lang w:val="en-US"/>
        </w:rPr>
        <w:t xml:space="preserve"> HERO model, healthy organizations, microenterprises, humanitarian contexts, border regions.</w:t>
      </w:r>
    </w:p>
    <w:p w14:paraId="448FFE27" w14:textId="77777777" w:rsidR="00893253" w:rsidRDefault="00893253" w:rsidP="00BC2974">
      <w:pPr>
        <w:spacing w:after="0" w:line="360" w:lineRule="auto"/>
        <w:jc w:val="both"/>
        <w:rPr>
          <w:rFonts w:cs="Times New Roman"/>
          <w:szCs w:val="24"/>
          <w:lang w:val="en-US"/>
        </w:rPr>
      </w:pPr>
    </w:p>
    <w:p w14:paraId="4B4BE703" w14:textId="77777777" w:rsidR="003449DB" w:rsidRDefault="003449DB" w:rsidP="00BC2974">
      <w:pPr>
        <w:spacing w:after="0" w:line="360" w:lineRule="auto"/>
        <w:jc w:val="both"/>
        <w:rPr>
          <w:rFonts w:cs="Times New Roman"/>
          <w:szCs w:val="24"/>
          <w:lang w:val="en-US"/>
        </w:rPr>
      </w:pPr>
    </w:p>
    <w:p w14:paraId="69D232BC" w14:textId="77777777" w:rsidR="003449DB" w:rsidRDefault="003449DB" w:rsidP="00BC2974">
      <w:pPr>
        <w:spacing w:after="0" w:line="360" w:lineRule="auto"/>
        <w:jc w:val="both"/>
        <w:rPr>
          <w:rFonts w:cs="Times New Roman"/>
          <w:szCs w:val="24"/>
          <w:lang w:val="en-US"/>
        </w:rPr>
      </w:pPr>
    </w:p>
    <w:p w14:paraId="24BEEA25" w14:textId="77777777" w:rsidR="003449DB" w:rsidRDefault="003449DB" w:rsidP="00BC2974">
      <w:pPr>
        <w:spacing w:after="0" w:line="360" w:lineRule="auto"/>
        <w:jc w:val="both"/>
        <w:rPr>
          <w:rFonts w:cs="Times New Roman"/>
          <w:szCs w:val="24"/>
          <w:lang w:val="en-US"/>
        </w:rPr>
      </w:pPr>
    </w:p>
    <w:p w14:paraId="0B9D672A" w14:textId="77777777" w:rsidR="003449DB" w:rsidRDefault="003449DB" w:rsidP="00BC2974">
      <w:pPr>
        <w:spacing w:after="0" w:line="360" w:lineRule="auto"/>
        <w:jc w:val="both"/>
        <w:rPr>
          <w:rFonts w:cs="Times New Roman"/>
          <w:szCs w:val="24"/>
          <w:lang w:val="en-US"/>
        </w:rPr>
      </w:pPr>
    </w:p>
    <w:p w14:paraId="6E7E2D50" w14:textId="77777777" w:rsidR="003449DB" w:rsidRDefault="003449DB" w:rsidP="00BC2974">
      <w:pPr>
        <w:spacing w:after="0" w:line="360" w:lineRule="auto"/>
        <w:jc w:val="both"/>
        <w:rPr>
          <w:rFonts w:cs="Times New Roman"/>
          <w:szCs w:val="24"/>
          <w:lang w:val="en-US"/>
        </w:rPr>
      </w:pPr>
    </w:p>
    <w:p w14:paraId="219C1C21" w14:textId="77777777" w:rsidR="003449DB" w:rsidRDefault="003449DB" w:rsidP="00BC2974">
      <w:pPr>
        <w:spacing w:after="0" w:line="360" w:lineRule="auto"/>
        <w:jc w:val="both"/>
        <w:rPr>
          <w:rFonts w:cs="Times New Roman"/>
          <w:szCs w:val="24"/>
          <w:lang w:val="en-US"/>
        </w:rPr>
      </w:pPr>
    </w:p>
    <w:p w14:paraId="182F494D" w14:textId="77777777" w:rsidR="003449DB" w:rsidRDefault="003449DB" w:rsidP="00BC2974">
      <w:pPr>
        <w:spacing w:after="0" w:line="360" w:lineRule="auto"/>
        <w:jc w:val="both"/>
        <w:rPr>
          <w:rFonts w:cs="Times New Roman"/>
          <w:szCs w:val="24"/>
          <w:lang w:val="en-US"/>
        </w:rPr>
      </w:pPr>
    </w:p>
    <w:p w14:paraId="6A07FB8D" w14:textId="77777777" w:rsidR="003449DB" w:rsidRDefault="003449DB" w:rsidP="00BC2974">
      <w:pPr>
        <w:spacing w:after="0" w:line="360" w:lineRule="auto"/>
        <w:jc w:val="both"/>
        <w:rPr>
          <w:rFonts w:cs="Times New Roman"/>
          <w:szCs w:val="24"/>
          <w:lang w:val="en-US"/>
        </w:rPr>
      </w:pPr>
    </w:p>
    <w:p w14:paraId="6BD7B280" w14:textId="77777777" w:rsidR="003449DB" w:rsidRDefault="003449DB" w:rsidP="00BC2974">
      <w:pPr>
        <w:spacing w:after="0" w:line="360" w:lineRule="auto"/>
        <w:jc w:val="both"/>
        <w:rPr>
          <w:rFonts w:cs="Times New Roman"/>
          <w:szCs w:val="24"/>
          <w:lang w:val="en-US"/>
        </w:rPr>
      </w:pPr>
    </w:p>
    <w:p w14:paraId="70C578EF" w14:textId="77777777" w:rsidR="003449DB" w:rsidRDefault="003449DB" w:rsidP="00BC2974">
      <w:pPr>
        <w:spacing w:after="0" w:line="360" w:lineRule="auto"/>
        <w:jc w:val="both"/>
        <w:rPr>
          <w:rFonts w:cs="Times New Roman"/>
          <w:szCs w:val="24"/>
          <w:lang w:val="en-US"/>
        </w:rPr>
      </w:pPr>
    </w:p>
    <w:p w14:paraId="16A12CCF" w14:textId="77777777" w:rsidR="003449DB" w:rsidRDefault="003449DB" w:rsidP="00BC2974">
      <w:pPr>
        <w:spacing w:after="0" w:line="360" w:lineRule="auto"/>
        <w:jc w:val="both"/>
        <w:rPr>
          <w:rFonts w:cs="Times New Roman"/>
          <w:szCs w:val="24"/>
          <w:lang w:val="en-US"/>
        </w:rPr>
      </w:pPr>
    </w:p>
    <w:p w14:paraId="0E7CB5B8" w14:textId="77777777" w:rsidR="003449DB" w:rsidRDefault="003449DB" w:rsidP="00BC2974">
      <w:pPr>
        <w:spacing w:after="0" w:line="360" w:lineRule="auto"/>
        <w:jc w:val="both"/>
        <w:rPr>
          <w:rFonts w:cs="Times New Roman"/>
          <w:szCs w:val="24"/>
          <w:lang w:val="en-US"/>
        </w:rPr>
      </w:pPr>
    </w:p>
    <w:p w14:paraId="71B1EF0D" w14:textId="77777777" w:rsidR="003449DB" w:rsidRDefault="003449DB" w:rsidP="00BC2974">
      <w:pPr>
        <w:spacing w:after="0" w:line="360" w:lineRule="auto"/>
        <w:jc w:val="both"/>
        <w:rPr>
          <w:rFonts w:cs="Times New Roman"/>
          <w:szCs w:val="24"/>
          <w:lang w:val="en-US"/>
        </w:rPr>
      </w:pPr>
    </w:p>
    <w:p w14:paraId="1814250E" w14:textId="77777777" w:rsidR="003449DB" w:rsidRDefault="003449DB" w:rsidP="00BC2974">
      <w:pPr>
        <w:spacing w:after="0" w:line="360" w:lineRule="auto"/>
        <w:jc w:val="both"/>
        <w:rPr>
          <w:rFonts w:cs="Times New Roman"/>
          <w:szCs w:val="24"/>
          <w:lang w:val="en-US"/>
        </w:rPr>
      </w:pPr>
    </w:p>
    <w:p w14:paraId="061D15C5" w14:textId="77777777" w:rsidR="003449DB" w:rsidRDefault="003449DB" w:rsidP="00BC2974">
      <w:pPr>
        <w:spacing w:after="0" w:line="360" w:lineRule="auto"/>
        <w:jc w:val="both"/>
        <w:rPr>
          <w:rFonts w:cs="Times New Roman"/>
          <w:szCs w:val="24"/>
          <w:lang w:val="en-US"/>
        </w:rPr>
      </w:pPr>
    </w:p>
    <w:p w14:paraId="2E6E06F4" w14:textId="77777777" w:rsidR="003449DB" w:rsidRDefault="003449DB" w:rsidP="00BC2974">
      <w:pPr>
        <w:spacing w:after="0" w:line="360" w:lineRule="auto"/>
        <w:jc w:val="both"/>
        <w:rPr>
          <w:rFonts w:cs="Times New Roman"/>
          <w:szCs w:val="24"/>
          <w:lang w:val="en-US"/>
        </w:rPr>
      </w:pPr>
    </w:p>
    <w:p w14:paraId="7915AA12" w14:textId="77777777" w:rsidR="003449DB" w:rsidRDefault="003449DB" w:rsidP="00BC2974">
      <w:pPr>
        <w:spacing w:after="0" w:line="360" w:lineRule="auto"/>
        <w:jc w:val="both"/>
        <w:rPr>
          <w:rFonts w:cs="Times New Roman"/>
          <w:szCs w:val="24"/>
          <w:lang w:val="en-US"/>
        </w:rPr>
      </w:pPr>
    </w:p>
    <w:p w14:paraId="291B623A" w14:textId="77777777" w:rsidR="003449DB" w:rsidRDefault="003449DB" w:rsidP="00BC2974">
      <w:pPr>
        <w:spacing w:after="0" w:line="360" w:lineRule="auto"/>
        <w:jc w:val="both"/>
        <w:rPr>
          <w:rFonts w:cs="Times New Roman"/>
          <w:szCs w:val="24"/>
          <w:lang w:val="en-US"/>
        </w:rPr>
      </w:pPr>
    </w:p>
    <w:p w14:paraId="3BCCA4B2" w14:textId="77777777" w:rsidR="003449DB" w:rsidRDefault="003449DB" w:rsidP="00BC2974">
      <w:pPr>
        <w:spacing w:after="0" w:line="360" w:lineRule="auto"/>
        <w:jc w:val="both"/>
        <w:rPr>
          <w:rFonts w:cs="Times New Roman"/>
          <w:szCs w:val="24"/>
          <w:lang w:val="en-US"/>
        </w:rPr>
      </w:pPr>
    </w:p>
    <w:p w14:paraId="7933639A" w14:textId="77777777" w:rsidR="003449DB" w:rsidRPr="002611FE" w:rsidRDefault="003449DB" w:rsidP="00BC2974">
      <w:pPr>
        <w:spacing w:after="0" w:line="360" w:lineRule="auto"/>
        <w:jc w:val="both"/>
        <w:rPr>
          <w:rFonts w:cs="Times New Roman"/>
          <w:szCs w:val="24"/>
          <w:lang w:val="en-US"/>
        </w:rPr>
      </w:pPr>
    </w:p>
    <w:p w14:paraId="5E004914" w14:textId="4979C860" w:rsidR="00893253" w:rsidRPr="00893253" w:rsidRDefault="00893253" w:rsidP="00BC2974">
      <w:pPr>
        <w:spacing w:after="0" w:line="360" w:lineRule="auto"/>
        <w:jc w:val="both"/>
        <w:rPr>
          <w:rFonts w:cs="Times New Roman"/>
          <w:szCs w:val="24"/>
        </w:rPr>
      </w:pPr>
      <w:r w:rsidRPr="00893253">
        <w:rPr>
          <w:rFonts w:cs="Times New Roman"/>
          <w:szCs w:val="24"/>
        </w:rPr>
        <w:t>Fecha de recepción:</w:t>
      </w:r>
      <w:r>
        <w:rPr>
          <w:rFonts w:cs="Times New Roman"/>
          <w:szCs w:val="24"/>
        </w:rPr>
        <w:t xml:space="preserve"> 23 de abril de 2025</w:t>
      </w:r>
    </w:p>
    <w:p w14:paraId="13FD2FD2" w14:textId="2C1BC569" w:rsidR="003449DB" w:rsidRDefault="00893253" w:rsidP="00235208">
      <w:pPr>
        <w:spacing w:after="0" w:line="360" w:lineRule="auto"/>
        <w:jc w:val="both"/>
        <w:rPr>
          <w:rFonts w:cs="Times New Roman"/>
          <w:szCs w:val="24"/>
        </w:rPr>
      </w:pPr>
      <w:r w:rsidRPr="00893253">
        <w:rPr>
          <w:rFonts w:cs="Times New Roman"/>
          <w:szCs w:val="24"/>
        </w:rPr>
        <w:t>Fecha de aceptación:</w:t>
      </w:r>
      <w:r>
        <w:rPr>
          <w:rFonts w:cs="Times New Roman"/>
          <w:szCs w:val="24"/>
        </w:rPr>
        <w:t xml:space="preserve"> 25 de marzo de 2026</w:t>
      </w:r>
    </w:p>
    <w:p w14:paraId="6A8F4ED5" w14:textId="77777777" w:rsidR="003449DB" w:rsidRPr="00893253" w:rsidRDefault="003449DB" w:rsidP="00235208">
      <w:pPr>
        <w:spacing w:after="0" w:line="360" w:lineRule="auto"/>
        <w:jc w:val="both"/>
        <w:rPr>
          <w:rFonts w:cs="Times New Roman"/>
          <w:szCs w:val="24"/>
        </w:rPr>
      </w:pPr>
    </w:p>
    <w:p w14:paraId="2229BF7C" w14:textId="11FEBA84" w:rsidR="00235208" w:rsidRPr="00D9667B" w:rsidRDefault="00713D4E" w:rsidP="00D9667B">
      <w:pPr>
        <w:pStyle w:val="Prrafodelista"/>
        <w:numPr>
          <w:ilvl w:val="0"/>
          <w:numId w:val="22"/>
        </w:numPr>
        <w:spacing w:line="360" w:lineRule="auto"/>
        <w:rPr>
          <w:rFonts w:cs="Times New Roman"/>
          <w:b/>
          <w:bCs/>
          <w:szCs w:val="24"/>
        </w:rPr>
      </w:pPr>
      <w:r w:rsidRPr="00D9667B">
        <w:rPr>
          <w:rFonts w:cs="Times New Roman"/>
          <w:b/>
          <w:bCs/>
          <w:szCs w:val="24"/>
        </w:rPr>
        <w:lastRenderedPageBreak/>
        <w:t>INTRODUCCION</w:t>
      </w:r>
      <w:bookmarkEnd w:id="0"/>
      <w:bookmarkEnd w:id="1"/>
    </w:p>
    <w:p w14:paraId="3C93B6D8" w14:textId="77777777" w:rsidR="00CD58CE" w:rsidRDefault="00CD58CE" w:rsidP="00BC2974">
      <w:pPr>
        <w:spacing w:after="0" w:line="360" w:lineRule="auto"/>
        <w:jc w:val="both"/>
        <w:rPr>
          <w:rFonts w:cs="Times New Roman"/>
          <w:szCs w:val="24"/>
        </w:rPr>
      </w:pPr>
      <w:r w:rsidRPr="00893253">
        <w:rPr>
          <w:rFonts w:cs="Times New Roman"/>
          <w:szCs w:val="24"/>
        </w:rPr>
        <w:t>La frontera entre Colombia y Venezuela, y en específico, el corredor Cúcuta–Villa del Rosario, ha llegado a ser un área donde la actividad económica cotidiana es funcional a la vez que se experimenta presión humanitaria sostenida. En Norte de Santander, se registran, según el Registro Único de Migrantes Venezolanos (RUMV) (corte informado por Migración Colombia al 12 de febrero de 2024), 264.716 migrantes venezolanos, lo que implica un 11 % del total nacional. Esta carga demográfica no únicamente reconfigura el mercado laboral local, sino que también tensa a la vez los sistemas de salud, educación, de protección, y genera situaciones de vulnerabilidad que se expresan en pobreza, separación familiar, violencia intrafamiliar, episodios de niñez no acompañada y barreras para el acceso a servicios (Organización Internacional para las Migraciones [OIM], 2024).</w:t>
      </w:r>
    </w:p>
    <w:p w14:paraId="3FA8BED8" w14:textId="43A1E57F" w:rsidR="00D9667B" w:rsidRPr="00893253" w:rsidRDefault="00CD58CE" w:rsidP="00D9667B">
      <w:pPr>
        <w:spacing w:before="240" w:line="360" w:lineRule="auto"/>
        <w:jc w:val="both"/>
        <w:rPr>
          <w:rFonts w:cs="Times New Roman"/>
          <w:szCs w:val="24"/>
        </w:rPr>
      </w:pPr>
      <w:r w:rsidRPr="00893253">
        <w:rPr>
          <w:rFonts w:cs="Times New Roman"/>
          <w:szCs w:val="24"/>
        </w:rPr>
        <w:t>La línea limítrofe entre Colombia y Venezuela, y en particular el corredor Cúcuta–Villa del Rosario a su vez, ha llegado a ser un espacio donde la actividad económica cotidiana es funcional, pero donde también experimenta una presión humanitaria sostenida. Al respecto, el Registro Único de Migrantes Venezolanos (RUMV) (corte informado por Migración Colombia al 12 de febrero de 2024) reporta para Norte de Santander 264.716 migrantes venezolanos que implican el 11 % del total nacional. Esta carga demográfica no solo reconfigura el mercado laboral local, sino que también presiona de forma simultánea los sistemas de salud, educación y protección, al mismo tiempo que produce situaciones de vulnerabilidad que se traducen en pobreza, separación familiar, violencia intrafamiliar, episodios de niñez no acompañada y barreras para el acceso a servicios (Organización Internacional para las Migraciones [OIM], 2024).</w:t>
      </w:r>
    </w:p>
    <w:p w14:paraId="239B45CC" w14:textId="545BE061" w:rsidR="00BC2974" w:rsidRPr="00893253" w:rsidRDefault="00CD58CE" w:rsidP="00D9667B">
      <w:pPr>
        <w:spacing w:line="360" w:lineRule="auto"/>
        <w:jc w:val="both"/>
        <w:rPr>
          <w:rFonts w:cs="Times New Roman"/>
          <w:szCs w:val="24"/>
        </w:rPr>
      </w:pPr>
      <w:r w:rsidRPr="00893253">
        <w:rPr>
          <w:rFonts w:cs="Times New Roman"/>
          <w:szCs w:val="24"/>
        </w:rPr>
        <w:t>La evidencia disponible también deja ver que la presión sobre salud y educación no es una cuestión abstracta. Como se ha indicado en 2023, Cúcuta tuvo cardiovascularmente atención a la población venezolana en situaciones críticas que incluyen 3.746 personas atendidas por urgencias (4.519 atenciones), 16.577 personas en consulta (52.961 atenciones) y 20.242 personas en procedimientos (176.342 atenciones) lo que permite entrever un acotamiento de la demanda en servicios de alta frecuencia y continuidad (OIM, 2024).</w:t>
      </w:r>
    </w:p>
    <w:p w14:paraId="40663E5B" w14:textId="77777777" w:rsidR="00CD58CE" w:rsidRPr="00893253" w:rsidRDefault="00CD58CE" w:rsidP="00235208">
      <w:pPr>
        <w:spacing w:after="0" w:line="360" w:lineRule="auto"/>
        <w:jc w:val="both"/>
        <w:rPr>
          <w:rFonts w:cs="Times New Roman"/>
          <w:szCs w:val="24"/>
        </w:rPr>
      </w:pPr>
      <w:r w:rsidRPr="00893253">
        <w:rPr>
          <w:rFonts w:cs="Times New Roman"/>
          <w:szCs w:val="24"/>
        </w:rPr>
        <w:lastRenderedPageBreak/>
        <w:t>En este marco general, las microempresas tienen una función que va más allá de la productiva en sí: son espacios que posibilitan, en el contexto de los hogares migrantes y las comunidades que los acogen, determinadas formas de ingreso, de interacción y de reconstrucción de ciertas rutinas. Pero el desempeño de estas microempresas está condicionado por una elevada informalidad, rotación laboral y escasez de capital. Por eso, parece razonable analizar si los recursos psicosociales propuestos por el modelo HERO (</w:t>
      </w:r>
      <w:proofErr w:type="spellStart"/>
      <w:r w:rsidRPr="00893253">
        <w:rPr>
          <w:rFonts w:cs="Times New Roman"/>
          <w:szCs w:val="24"/>
        </w:rPr>
        <w:t>Healthy</w:t>
      </w:r>
      <w:proofErr w:type="spellEnd"/>
      <w:r w:rsidRPr="00893253">
        <w:rPr>
          <w:rFonts w:cs="Times New Roman"/>
          <w:szCs w:val="24"/>
        </w:rPr>
        <w:t xml:space="preserve"> and </w:t>
      </w:r>
      <w:proofErr w:type="spellStart"/>
      <w:r w:rsidRPr="00893253">
        <w:rPr>
          <w:rFonts w:cs="Times New Roman"/>
          <w:szCs w:val="24"/>
        </w:rPr>
        <w:t>Resilient</w:t>
      </w:r>
      <w:proofErr w:type="spellEnd"/>
      <w:r w:rsidRPr="00893253">
        <w:rPr>
          <w:rFonts w:cs="Times New Roman"/>
          <w:szCs w:val="24"/>
        </w:rPr>
        <w:t xml:space="preserve"> </w:t>
      </w:r>
      <w:proofErr w:type="spellStart"/>
      <w:r w:rsidRPr="00893253">
        <w:rPr>
          <w:rFonts w:cs="Times New Roman"/>
          <w:szCs w:val="24"/>
        </w:rPr>
        <w:t>Organizations</w:t>
      </w:r>
      <w:proofErr w:type="spellEnd"/>
      <w:r w:rsidRPr="00893253">
        <w:rPr>
          <w:rFonts w:cs="Times New Roman"/>
          <w:szCs w:val="24"/>
        </w:rPr>
        <w:t>) pueden mantenerse como mecanismos de desempeño en un territorio limítrofe. En comparación con las propuestas más generales que únicamente ofrecen descripciones de los sitios web, esta investigación se hace cargo de la "validación situada" (</w:t>
      </w:r>
      <w:proofErr w:type="spellStart"/>
      <w:r w:rsidRPr="00893253">
        <w:rPr>
          <w:rFonts w:cs="Times New Roman"/>
          <w:szCs w:val="24"/>
        </w:rPr>
        <w:t>boundary</w:t>
      </w:r>
      <w:proofErr w:type="spellEnd"/>
      <w:r w:rsidRPr="00893253">
        <w:rPr>
          <w:rFonts w:cs="Times New Roman"/>
          <w:szCs w:val="24"/>
        </w:rPr>
        <w:t xml:space="preserve"> </w:t>
      </w:r>
      <w:proofErr w:type="spellStart"/>
      <w:r w:rsidRPr="00893253">
        <w:rPr>
          <w:rFonts w:cs="Times New Roman"/>
          <w:szCs w:val="24"/>
        </w:rPr>
        <w:t>condition</w:t>
      </w:r>
      <w:proofErr w:type="spellEnd"/>
      <w:r w:rsidRPr="00893253">
        <w:rPr>
          <w:rFonts w:cs="Times New Roman"/>
          <w:szCs w:val="24"/>
        </w:rPr>
        <w:t xml:space="preserve">) y, además, examina cómo las variables de liderazgo saludable, empoderamiento y pertenencia, sumadas a la escalada de la </w:t>
      </w:r>
      <w:proofErr w:type="spellStart"/>
      <w:r w:rsidRPr="00893253">
        <w:rPr>
          <w:rFonts w:cs="Times New Roman"/>
          <w:szCs w:val="24"/>
        </w:rPr>
        <w:t>digitalidad</w:t>
      </w:r>
      <w:proofErr w:type="spellEnd"/>
      <w:r w:rsidRPr="00893253">
        <w:rPr>
          <w:rFonts w:cs="Times New Roman"/>
          <w:szCs w:val="24"/>
        </w:rPr>
        <w:t>, se organizan para llegar a explicar las variables de resultados en las microempresas de Villa del Rosario.</w:t>
      </w:r>
    </w:p>
    <w:p w14:paraId="2DE8CE49" w14:textId="77777777" w:rsidR="00CD58CE" w:rsidRPr="00893253" w:rsidRDefault="00CD58CE" w:rsidP="000D1D85">
      <w:pPr>
        <w:spacing w:after="0" w:line="360" w:lineRule="auto"/>
        <w:jc w:val="both"/>
        <w:rPr>
          <w:rFonts w:cs="Times New Roman"/>
          <w:szCs w:val="24"/>
        </w:rPr>
      </w:pPr>
    </w:p>
    <w:p w14:paraId="2E92D55F" w14:textId="4DE0B301" w:rsidR="009F59DC" w:rsidRDefault="00CD58CE" w:rsidP="000D1D85">
      <w:pPr>
        <w:spacing w:after="0" w:line="360" w:lineRule="auto"/>
        <w:jc w:val="both"/>
        <w:rPr>
          <w:rFonts w:cs="Times New Roman"/>
          <w:szCs w:val="24"/>
        </w:rPr>
      </w:pPr>
      <w:r w:rsidRPr="00893253">
        <w:rPr>
          <w:rFonts w:cs="Times New Roman"/>
          <w:szCs w:val="24"/>
        </w:rPr>
        <w:t>Por otro lado, el examen del mercado laboral de las personas migrantes en Colombia muestra que las personas migrantes tienen una mayor intención de participar en el mercado laboral que las personas nativas y que la inserción se produce con tasas más altas de informalidad, vinculadas a los fenómenos de la migración y relevantes para la comprensión de las microempresas fronterizas (Programa de las Naciones Unidas para el Desarrollo [PNUD], 2024). Por tanto, la aportación que se hace en esta investigación es doble: (i) muestra evidencia empírica sobre la salud organizacional y los resultados de negocio de las microempresas de frontera, y (</w:t>
      </w:r>
      <w:proofErr w:type="spellStart"/>
      <w:r w:rsidRPr="00893253">
        <w:rPr>
          <w:rFonts w:cs="Times New Roman"/>
          <w:szCs w:val="24"/>
        </w:rPr>
        <w:t>ii</w:t>
      </w:r>
      <w:proofErr w:type="spellEnd"/>
      <w:r w:rsidRPr="00893253">
        <w:rPr>
          <w:rFonts w:cs="Times New Roman"/>
          <w:szCs w:val="24"/>
        </w:rPr>
        <w:t>) señala implicaciones de política y gestión que relacionan la productividad, el bienestar y la reducción del riesgo de la vulnerabilidad social.</w:t>
      </w:r>
    </w:p>
    <w:p w14:paraId="70C51DB9" w14:textId="77777777" w:rsidR="00893253" w:rsidRPr="00893253" w:rsidRDefault="00893253" w:rsidP="000D1D85">
      <w:pPr>
        <w:spacing w:after="0" w:line="360" w:lineRule="auto"/>
        <w:jc w:val="both"/>
        <w:rPr>
          <w:rFonts w:cs="Times New Roman"/>
          <w:szCs w:val="24"/>
        </w:rPr>
      </w:pPr>
    </w:p>
    <w:p w14:paraId="23BC4B1B" w14:textId="1831F412" w:rsidR="00BC2974" w:rsidRPr="00D9667B" w:rsidRDefault="00752EDC" w:rsidP="00CF017F">
      <w:pPr>
        <w:pStyle w:val="Prrafodelista"/>
        <w:numPr>
          <w:ilvl w:val="0"/>
          <w:numId w:val="22"/>
        </w:numPr>
        <w:spacing w:after="0" w:line="360" w:lineRule="auto"/>
        <w:rPr>
          <w:rFonts w:cs="Times New Roman"/>
          <w:b/>
          <w:bCs/>
          <w:szCs w:val="24"/>
        </w:rPr>
      </w:pPr>
      <w:r w:rsidRPr="00D9667B">
        <w:rPr>
          <w:rFonts w:cs="Times New Roman"/>
          <w:b/>
          <w:bCs/>
          <w:szCs w:val="24"/>
        </w:rPr>
        <w:t>MARCO TEÓRICO</w:t>
      </w:r>
    </w:p>
    <w:p w14:paraId="28818675" w14:textId="77777777" w:rsidR="00CF017F" w:rsidRPr="00CF017F" w:rsidRDefault="00CF017F" w:rsidP="00CF017F">
      <w:pPr>
        <w:pStyle w:val="Prrafodelista"/>
        <w:spacing w:after="0" w:line="360" w:lineRule="auto"/>
        <w:rPr>
          <w:rFonts w:cs="Times New Roman"/>
          <w:b/>
          <w:bCs/>
          <w:color w:val="4F81BD" w:themeColor="accent1"/>
          <w:szCs w:val="24"/>
        </w:rPr>
      </w:pPr>
    </w:p>
    <w:p w14:paraId="3FC9C95B" w14:textId="6BD211D3" w:rsidR="00BC2974" w:rsidRPr="00893253" w:rsidRDefault="00DE1FAF" w:rsidP="00D9667B">
      <w:pPr>
        <w:spacing w:line="360" w:lineRule="auto"/>
        <w:jc w:val="both"/>
        <w:rPr>
          <w:rFonts w:cs="Times New Roman"/>
          <w:b/>
          <w:bCs/>
          <w:szCs w:val="24"/>
        </w:rPr>
      </w:pPr>
      <w:r w:rsidRPr="00893253">
        <w:rPr>
          <w:rFonts w:cs="Times New Roman"/>
          <w:b/>
          <w:bCs/>
          <w:szCs w:val="24"/>
        </w:rPr>
        <w:t>El modelo HERO</w:t>
      </w:r>
    </w:p>
    <w:p w14:paraId="000CD69F"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El modelo HERO proviene de la psicología organizacional positiva. Sugiere cómo las organizaciones pueden crear entornos laborales saludables y resilientes. El modelo tiene tres dimensiones: (a) prácticas organizacionales saludables, (b) empleados saludables y (c) </w:t>
      </w:r>
      <w:r w:rsidRPr="00893253">
        <w:rPr>
          <w:rFonts w:cs="Times New Roman"/>
          <w:szCs w:val="24"/>
        </w:rPr>
        <w:lastRenderedPageBreak/>
        <w:t>resultados organizacionales positivos. En las microempresas, estas dinámicas son muy importantes porque dependen mucho del capital humano y por la cercanía entre líderes y trabajadores.</w:t>
      </w:r>
    </w:p>
    <w:p w14:paraId="7AD81AC3" w14:textId="77777777" w:rsidR="00BC2974" w:rsidRDefault="00BC2974" w:rsidP="000D1D85">
      <w:pPr>
        <w:spacing w:after="0" w:line="360" w:lineRule="auto"/>
        <w:jc w:val="both"/>
        <w:rPr>
          <w:rFonts w:cs="Times New Roman"/>
          <w:szCs w:val="24"/>
        </w:rPr>
      </w:pPr>
    </w:p>
    <w:p w14:paraId="1248DD65" w14:textId="61790595" w:rsidR="00DE1FAF" w:rsidRPr="00893253" w:rsidRDefault="00DE1FAF" w:rsidP="00D9667B">
      <w:pPr>
        <w:spacing w:line="360" w:lineRule="auto"/>
        <w:jc w:val="both"/>
        <w:rPr>
          <w:rFonts w:cs="Times New Roman"/>
          <w:b/>
          <w:bCs/>
          <w:szCs w:val="24"/>
        </w:rPr>
      </w:pPr>
      <w:r w:rsidRPr="00893253">
        <w:rPr>
          <w:rFonts w:cs="Times New Roman"/>
          <w:b/>
          <w:bCs/>
          <w:szCs w:val="24"/>
        </w:rPr>
        <w:t xml:space="preserve">Microempresas en contextos humanitarios  </w:t>
      </w:r>
    </w:p>
    <w:p w14:paraId="10623272" w14:textId="77777777" w:rsidR="00DE1FAF" w:rsidRPr="00893253" w:rsidRDefault="00DE1FAF" w:rsidP="000D1D85">
      <w:pPr>
        <w:spacing w:after="0" w:line="360" w:lineRule="auto"/>
        <w:jc w:val="both"/>
        <w:rPr>
          <w:rFonts w:cs="Times New Roman"/>
          <w:szCs w:val="24"/>
        </w:rPr>
      </w:pPr>
      <w:r w:rsidRPr="00893253">
        <w:rPr>
          <w:rFonts w:cs="Times New Roman"/>
          <w:szCs w:val="24"/>
        </w:rPr>
        <w:t>Las microempresas en territorios de frontera enfrentan condiciones adversas como la informalidad, restricciones financieras, alta rotación laboral y choques sociales. Sin embargo, tienen ventajas como flexibilidad operativa y fuerte conexión con la comunidad. Desde una perspectiva humanitaria, estas empresas pueden actuar como mecanismos locales de resiliencia, proporcionando ingresos a hogares migrantes y población desplazada.</w:t>
      </w:r>
    </w:p>
    <w:p w14:paraId="2235FD07" w14:textId="77777777" w:rsidR="00DE1FAF" w:rsidRPr="00893253" w:rsidRDefault="00DE1FAF" w:rsidP="000D1D85">
      <w:pPr>
        <w:spacing w:after="0" w:line="360" w:lineRule="auto"/>
        <w:jc w:val="both"/>
        <w:rPr>
          <w:rFonts w:cs="Times New Roman"/>
          <w:szCs w:val="24"/>
        </w:rPr>
      </w:pPr>
    </w:p>
    <w:p w14:paraId="7D52536D" w14:textId="6A2CD95B" w:rsidR="00A70ABE" w:rsidRPr="00893253" w:rsidRDefault="00DE1FAF" w:rsidP="00D9667B">
      <w:pPr>
        <w:spacing w:line="360" w:lineRule="auto"/>
        <w:jc w:val="both"/>
        <w:rPr>
          <w:rFonts w:cs="Times New Roman"/>
          <w:b/>
          <w:bCs/>
          <w:szCs w:val="24"/>
        </w:rPr>
      </w:pPr>
      <w:r w:rsidRPr="00893253">
        <w:rPr>
          <w:rFonts w:cs="Times New Roman"/>
          <w:b/>
          <w:bCs/>
          <w:szCs w:val="24"/>
        </w:rPr>
        <w:t xml:space="preserve">Brecha de investigación  </w:t>
      </w:r>
    </w:p>
    <w:p w14:paraId="75520794"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A pesar del desarrollo teórico del modelo HERO, hay tres vacíos:  </w:t>
      </w:r>
    </w:p>
    <w:p w14:paraId="66F9C182"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1. Escasa evidencia en microempresas.  </w:t>
      </w:r>
    </w:p>
    <w:p w14:paraId="1681851A"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2. Poca investigación en el Sur Global.  </w:t>
      </w:r>
    </w:p>
    <w:p w14:paraId="01DBE701"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3. Falta de estudios en contextos humanitarios de frontera.  </w:t>
      </w:r>
    </w:p>
    <w:p w14:paraId="6C39B973" w14:textId="77777777" w:rsidR="00DE1FAF" w:rsidRPr="00893253" w:rsidRDefault="00DE1FAF" w:rsidP="000D1D85">
      <w:pPr>
        <w:spacing w:after="0" w:line="360" w:lineRule="auto"/>
        <w:jc w:val="both"/>
        <w:rPr>
          <w:rFonts w:cs="Times New Roman"/>
          <w:szCs w:val="24"/>
        </w:rPr>
      </w:pPr>
      <w:r w:rsidRPr="00893253">
        <w:rPr>
          <w:rFonts w:cs="Times New Roman"/>
          <w:szCs w:val="24"/>
        </w:rPr>
        <w:t>Este trabajo ayuda a cerrar esa brecha con evidencia empírica localizada.</w:t>
      </w:r>
    </w:p>
    <w:p w14:paraId="7D8C516F" w14:textId="77777777" w:rsidR="00DE1FAF" w:rsidRPr="00893253" w:rsidRDefault="00DE1FAF" w:rsidP="000D1D85">
      <w:pPr>
        <w:spacing w:after="0" w:line="360" w:lineRule="auto"/>
        <w:jc w:val="both"/>
        <w:rPr>
          <w:rFonts w:cs="Times New Roman"/>
          <w:szCs w:val="24"/>
        </w:rPr>
      </w:pPr>
    </w:p>
    <w:p w14:paraId="0B1D0C62" w14:textId="3BA5A981" w:rsidR="00DE1FAF" w:rsidRPr="00893253" w:rsidRDefault="00DE1FAF" w:rsidP="00D9667B">
      <w:pPr>
        <w:spacing w:line="360" w:lineRule="auto"/>
        <w:jc w:val="both"/>
        <w:rPr>
          <w:rFonts w:cs="Times New Roman"/>
          <w:b/>
          <w:bCs/>
          <w:szCs w:val="24"/>
        </w:rPr>
      </w:pPr>
      <w:r w:rsidRPr="00893253">
        <w:rPr>
          <w:rFonts w:cs="Times New Roman"/>
          <w:b/>
          <w:bCs/>
          <w:szCs w:val="24"/>
        </w:rPr>
        <w:t xml:space="preserve">Fundamentos y dimensiones  </w:t>
      </w:r>
    </w:p>
    <w:p w14:paraId="7470C538" w14:textId="6D91639F" w:rsidR="00DE1FAF" w:rsidRDefault="00DE1FAF" w:rsidP="000D1D85">
      <w:pPr>
        <w:spacing w:after="0" w:line="360" w:lineRule="auto"/>
        <w:jc w:val="both"/>
        <w:rPr>
          <w:rFonts w:cs="Times New Roman"/>
          <w:szCs w:val="24"/>
        </w:rPr>
      </w:pPr>
      <w:r w:rsidRPr="00893253">
        <w:rPr>
          <w:rFonts w:cs="Times New Roman"/>
          <w:szCs w:val="24"/>
        </w:rPr>
        <w:t>El modelo HERO (</w:t>
      </w:r>
      <w:proofErr w:type="spellStart"/>
      <w:r w:rsidRPr="00893253">
        <w:rPr>
          <w:rFonts w:cs="Times New Roman"/>
          <w:szCs w:val="24"/>
        </w:rPr>
        <w:t>Healthy</w:t>
      </w:r>
      <w:proofErr w:type="spellEnd"/>
      <w:r w:rsidRPr="00893253">
        <w:rPr>
          <w:rFonts w:cs="Times New Roman"/>
          <w:szCs w:val="24"/>
        </w:rPr>
        <w:t xml:space="preserve"> and </w:t>
      </w:r>
      <w:proofErr w:type="spellStart"/>
      <w:r w:rsidRPr="00893253">
        <w:rPr>
          <w:rFonts w:cs="Times New Roman"/>
          <w:szCs w:val="24"/>
        </w:rPr>
        <w:t>Resilient</w:t>
      </w:r>
      <w:proofErr w:type="spellEnd"/>
      <w:r w:rsidRPr="00893253">
        <w:rPr>
          <w:rFonts w:cs="Times New Roman"/>
          <w:szCs w:val="24"/>
        </w:rPr>
        <w:t xml:space="preserve"> </w:t>
      </w:r>
      <w:proofErr w:type="spellStart"/>
      <w:r w:rsidRPr="00893253">
        <w:rPr>
          <w:rFonts w:cs="Times New Roman"/>
          <w:szCs w:val="24"/>
        </w:rPr>
        <w:t>Organizations</w:t>
      </w:r>
      <w:proofErr w:type="spellEnd"/>
      <w:r w:rsidRPr="00893253">
        <w:rPr>
          <w:rFonts w:cs="Times New Roman"/>
          <w:szCs w:val="24"/>
        </w:rPr>
        <w:t xml:space="preserve">), creado por </w:t>
      </w:r>
      <w:proofErr w:type="spellStart"/>
      <w:r w:rsidRPr="00893253">
        <w:rPr>
          <w:rFonts w:cs="Times New Roman"/>
          <w:szCs w:val="24"/>
        </w:rPr>
        <w:t>Salanova</w:t>
      </w:r>
      <w:proofErr w:type="spellEnd"/>
      <w:r w:rsidRPr="00893253">
        <w:rPr>
          <w:rFonts w:cs="Times New Roman"/>
          <w:szCs w:val="24"/>
        </w:rPr>
        <w:t xml:space="preserve"> et al. (201</w:t>
      </w:r>
      <w:r w:rsidR="00C80578" w:rsidRPr="00893253">
        <w:rPr>
          <w:rFonts w:cs="Times New Roman"/>
          <w:szCs w:val="24"/>
        </w:rPr>
        <w:t>6</w:t>
      </w:r>
      <w:r w:rsidRPr="00893253">
        <w:rPr>
          <w:rFonts w:cs="Times New Roman"/>
          <w:szCs w:val="24"/>
        </w:rPr>
        <w:t>), es una propuesta integral de la psicología organizacional positiva. Busca entender cómo las organizaciones pueden promover entornos laborales saludables y resilientes. Este modelo tiene tres dimensiones interrelacionadas: a) prácticas organizacionales saludables, b) empleados saludables y c) resultados organizacionales positivos. La base teórica del modelo se centra en que el bienestar organizacional no es solo un efecto de las dinámicas laborales, sino un recurso estratégico que se puede cultivar y gestionar (</w:t>
      </w:r>
      <w:proofErr w:type="spellStart"/>
      <w:r w:rsidRPr="00893253">
        <w:rPr>
          <w:rFonts w:cs="Times New Roman"/>
          <w:szCs w:val="24"/>
        </w:rPr>
        <w:t>Luthans</w:t>
      </w:r>
      <w:proofErr w:type="spellEnd"/>
      <w:r w:rsidRPr="00893253">
        <w:rPr>
          <w:rFonts w:cs="Times New Roman"/>
          <w:szCs w:val="24"/>
        </w:rPr>
        <w:t xml:space="preserve"> &amp; Youssef-Morgan, 2017).  </w:t>
      </w:r>
    </w:p>
    <w:p w14:paraId="76A5B082" w14:textId="77777777" w:rsidR="00A70ABE" w:rsidRPr="00893253" w:rsidRDefault="00A70ABE" w:rsidP="000D1D85">
      <w:pPr>
        <w:spacing w:after="0" w:line="360" w:lineRule="auto"/>
        <w:jc w:val="both"/>
        <w:rPr>
          <w:rFonts w:cs="Times New Roman"/>
          <w:szCs w:val="24"/>
        </w:rPr>
      </w:pPr>
    </w:p>
    <w:p w14:paraId="45E6429C" w14:textId="11B5FE8E" w:rsidR="00DE1FAF" w:rsidRDefault="00DE1FAF" w:rsidP="000D1D85">
      <w:pPr>
        <w:spacing w:after="0" w:line="360" w:lineRule="auto"/>
        <w:jc w:val="both"/>
        <w:rPr>
          <w:rFonts w:cs="Times New Roman"/>
          <w:szCs w:val="24"/>
        </w:rPr>
      </w:pPr>
      <w:r w:rsidRPr="00893253">
        <w:rPr>
          <w:rFonts w:cs="Times New Roman"/>
          <w:szCs w:val="24"/>
        </w:rPr>
        <w:lastRenderedPageBreak/>
        <w:t xml:space="preserve">Las prácticas organizacionales saludables incluyen liderazgo transformacional, empoderamiento del personal, comunicación efectiva, reconocimiento del trabajo y compromiso con el desarrollo profesional. Estas prácticas crean un ambiente que fomenta la motivación, la </w:t>
      </w:r>
      <w:proofErr w:type="gramStart"/>
      <w:r w:rsidRPr="00893253">
        <w:rPr>
          <w:rFonts w:cs="Times New Roman"/>
          <w:szCs w:val="24"/>
        </w:rPr>
        <w:t>participación activa</w:t>
      </w:r>
      <w:proofErr w:type="gramEnd"/>
      <w:r w:rsidRPr="00893253">
        <w:rPr>
          <w:rFonts w:cs="Times New Roman"/>
          <w:szCs w:val="24"/>
        </w:rPr>
        <w:t xml:space="preserve"> y la confianza organizacional (</w:t>
      </w:r>
      <w:proofErr w:type="spellStart"/>
      <w:r w:rsidRPr="00893253">
        <w:rPr>
          <w:rFonts w:cs="Times New Roman"/>
          <w:szCs w:val="24"/>
        </w:rPr>
        <w:t>Salanova</w:t>
      </w:r>
      <w:proofErr w:type="spellEnd"/>
      <w:r w:rsidRPr="00893253">
        <w:rPr>
          <w:rFonts w:cs="Times New Roman"/>
          <w:szCs w:val="24"/>
        </w:rPr>
        <w:t xml:space="preserve"> &amp; </w:t>
      </w:r>
      <w:proofErr w:type="spellStart"/>
      <w:r w:rsidRPr="00893253">
        <w:rPr>
          <w:rFonts w:cs="Times New Roman"/>
          <w:szCs w:val="24"/>
        </w:rPr>
        <w:t>Schaufeli</w:t>
      </w:r>
      <w:proofErr w:type="spellEnd"/>
      <w:r w:rsidRPr="00893253">
        <w:rPr>
          <w:rFonts w:cs="Times New Roman"/>
          <w:szCs w:val="24"/>
        </w:rPr>
        <w:t>, 20</w:t>
      </w:r>
      <w:r w:rsidR="00C80578" w:rsidRPr="00893253">
        <w:rPr>
          <w:rFonts w:cs="Times New Roman"/>
          <w:szCs w:val="24"/>
        </w:rPr>
        <w:t>00</w:t>
      </w:r>
      <w:r w:rsidRPr="00893253">
        <w:rPr>
          <w:rFonts w:cs="Times New Roman"/>
          <w:szCs w:val="24"/>
        </w:rPr>
        <w:t>). Los empleados saludables se definen como aquellos que tienen altos niveles de compromiso, autoeficacia, satisfacción laboral y sentido de propósito. Finalmente, los resultados organizacionales positivos abarcan indicadores como satisfacción del cliente, calidad del servicio, innovación, retención del talento y desempeño financiero sostenible (World Bank, 2021)</w:t>
      </w:r>
      <w:r w:rsidR="00A70ABE">
        <w:rPr>
          <w:rFonts w:cs="Times New Roman"/>
          <w:szCs w:val="24"/>
        </w:rPr>
        <w:t>.</w:t>
      </w:r>
    </w:p>
    <w:p w14:paraId="2C35D0C0" w14:textId="77777777" w:rsidR="00B40FE7" w:rsidRPr="00893253" w:rsidRDefault="00B40FE7" w:rsidP="000D1D85">
      <w:pPr>
        <w:spacing w:after="0" w:line="360" w:lineRule="auto"/>
        <w:jc w:val="both"/>
        <w:rPr>
          <w:rFonts w:cs="Times New Roman"/>
          <w:szCs w:val="24"/>
        </w:rPr>
      </w:pPr>
    </w:p>
    <w:p w14:paraId="2D96479E" w14:textId="150D1656" w:rsidR="00DE1FAF" w:rsidRPr="00893253" w:rsidRDefault="00DE1FAF" w:rsidP="00D9667B">
      <w:pPr>
        <w:spacing w:line="360" w:lineRule="auto"/>
        <w:jc w:val="both"/>
        <w:rPr>
          <w:rFonts w:cs="Times New Roman"/>
          <w:b/>
          <w:bCs/>
          <w:szCs w:val="24"/>
        </w:rPr>
      </w:pPr>
      <w:r w:rsidRPr="00893253">
        <w:rPr>
          <w:rFonts w:cs="Times New Roman"/>
          <w:b/>
          <w:bCs/>
          <w:szCs w:val="24"/>
        </w:rPr>
        <w:t xml:space="preserve">Aplicaciones del modelo HERO en contextos organizacionales  </w:t>
      </w:r>
    </w:p>
    <w:p w14:paraId="79465648" w14:textId="0738C0AE" w:rsidR="00DE1FAF" w:rsidRDefault="00DE1FAF" w:rsidP="000D1D85">
      <w:pPr>
        <w:spacing w:after="0" w:line="360" w:lineRule="auto"/>
        <w:jc w:val="both"/>
        <w:rPr>
          <w:rFonts w:cs="Times New Roman"/>
          <w:szCs w:val="24"/>
        </w:rPr>
      </w:pPr>
      <w:r w:rsidRPr="00893253">
        <w:rPr>
          <w:rFonts w:cs="Times New Roman"/>
          <w:szCs w:val="24"/>
        </w:rPr>
        <w:t>La aplicabilidad del modelo HERO se ha documentado en diversos entornos organizacionales, especialmente en el sector servicios, educación y salud en Europa (</w:t>
      </w:r>
      <w:r w:rsidR="006F679F" w:rsidRPr="00893253">
        <w:rPr>
          <w:rFonts w:cs="Times New Roman"/>
          <w:szCs w:val="24"/>
        </w:rPr>
        <w:t xml:space="preserve">Gil </w:t>
      </w:r>
      <w:r w:rsidRPr="00893253">
        <w:rPr>
          <w:rFonts w:cs="Times New Roman"/>
          <w:szCs w:val="24"/>
        </w:rPr>
        <w:t>et al., 20</w:t>
      </w:r>
      <w:r w:rsidR="006F679F" w:rsidRPr="00893253">
        <w:rPr>
          <w:rFonts w:cs="Times New Roman"/>
          <w:szCs w:val="24"/>
        </w:rPr>
        <w:t>20</w:t>
      </w:r>
      <w:r w:rsidRPr="00893253">
        <w:rPr>
          <w:rFonts w:cs="Times New Roman"/>
          <w:szCs w:val="24"/>
        </w:rPr>
        <w:t>; Martínez et al., 20</w:t>
      </w:r>
      <w:r w:rsidR="006F679F" w:rsidRPr="00893253">
        <w:rPr>
          <w:rFonts w:cs="Times New Roman"/>
          <w:szCs w:val="24"/>
        </w:rPr>
        <w:t>16</w:t>
      </w:r>
      <w:r w:rsidRPr="00893253">
        <w:rPr>
          <w:rFonts w:cs="Times New Roman"/>
          <w:szCs w:val="24"/>
        </w:rPr>
        <w:t xml:space="preserve">). Sin embargo, su validación en microempresas y entornos emergentes es todavía limitada. Estudios recientes han empezado a investigar su adaptabilidad a contextos con alta incertidumbre o condiciones adversas, como crisis económicas, desastres naturales o emergencias sanitarias (García et al., 2021).  </w:t>
      </w:r>
    </w:p>
    <w:p w14:paraId="5DF0BDD6" w14:textId="77777777" w:rsidR="00A70ABE" w:rsidRPr="00893253" w:rsidRDefault="00A70ABE" w:rsidP="000D1D85">
      <w:pPr>
        <w:spacing w:after="0" w:line="360" w:lineRule="auto"/>
        <w:jc w:val="both"/>
        <w:rPr>
          <w:rFonts w:cs="Times New Roman"/>
          <w:szCs w:val="24"/>
        </w:rPr>
      </w:pPr>
    </w:p>
    <w:p w14:paraId="1A68F8DA" w14:textId="77777777" w:rsidR="00DE1FAF" w:rsidRPr="00893253" w:rsidRDefault="00DE1FAF" w:rsidP="000D1D85">
      <w:pPr>
        <w:spacing w:after="0" w:line="360" w:lineRule="auto"/>
        <w:jc w:val="both"/>
        <w:rPr>
          <w:rFonts w:cs="Times New Roman"/>
          <w:szCs w:val="24"/>
        </w:rPr>
      </w:pPr>
      <w:r w:rsidRPr="00893253">
        <w:rPr>
          <w:rFonts w:cs="Times New Roman"/>
          <w:szCs w:val="24"/>
        </w:rPr>
        <w:t>En América Latina, algunos estudios preliminares han demostrado que las prácticas saludables impactan directamente en la resiliencia organizacional, retención del talento y satisfacción del cliente, incluso en empresas de bajo nivel de formalización (González &amp; Castro, 2020). Estos hallazgos sugieren que el modelo HERO puede ser utilizado como herramienta de diagnóstico y mejora en MiPymes, especialmente en su respuesta humanitaria o reconstrucción social tras crisis.</w:t>
      </w:r>
    </w:p>
    <w:p w14:paraId="481F7DDD" w14:textId="77777777" w:rsidR="00DE1FAF" w:rsidRPr="00893253" w:rsidRDefault="00DE1FAF" w:rsidP="000D1D85">
      <w:pPr>
        <w:spacing w:after="0" w:line="360" w:lineRule="auto"/>
        <w:jc w:val="both"/>
        <w:rPr>
          <w:rFonts w:cs="Times New Roman"/>
          <w:szCs w:val="24"/>
        </w:rPr>
      </w:pPr>
    </w:p>
    <w:p w14:paraId="7B2C69BD" w14:textId="528994F7" w:rsidR="00DE1FAF" w:rsidRPr="00893253" w:rsidRDefault="00DE1FAF" w:rsidP="00D9667B">
      <w:pPr>
        <w:spacing w:line="360" w:lineRule="auto"/>
        <w:jc w:val="both"/>
        <w:rPr>
          <w:rFonts w:cs="Times New Roman"/>
          <w:b/>
          <w:bCs/>
          <w:szCs w:val="24"/>
        </w:rPr>
      </w:pPr>
      <w:r w:rsidRPr="00893253">
        <w:rPr>
          <w:rFonts w:cs="Times New Roman"/>
          <w:b/>
          <w:bCs/>
          <w:szCs w:val="24"/>
        </w:rPr>
        <w:t xml:space="preserve">Salud organizacional en microempresas y entornos vulnerables  </w:t>
      </w:r>
    </w:p>
    <w:p w14:paraId="71E16B6C" w14:textId="77777777" w:rsidR="00DE1FAF" w:rsidRDefault="00DE1FAF" w:rsidP="000D1D85">
      <w:pPr>
        <w:spacing w:after="0" w:line="360" w:lineRule="auto"/>
        <w:jc w:val="both"/>
        <w:rPr>
          <w:rFonts w:cs="Times New Roman"/>
          <w:szCs w:val="24"/>
        </w:rPr>
      </w:pPr>
      <w:r w:rsidRPr="00893253">
        <w:rPr>
          <w:rFonts w:cs="Times New Roman"/>
          <w:szCs w:val="24"/>
        </w:rPr>
        <w:t xml:space="preserve">Las microempresas en zonas humanitarias afrontan desafíos únicos: alta rotación del personal, bajos márgenes financieros, traumas sociales y falta de apoyo institucional. Sin embargo, también tienen fortalezas como flexibilidad, conexión con la comunidad y capacidad para innovar (Hernández, R., 2023; Mariano &amp; Casey, 2020). En estos </w:t>
      </w:r>
      <w:r w:rsidRPr="00893253">
        <w:rPr>
          <w:rFonts w:cs="Times New Roman"/>
          <w:szCs w:val="24"/>
        </w:rPr>
        <w:lastRenderedPageBreak/>
        <w:t xml:space="preserve">contextos, fomentar una cultura organizacional saludable puede ser una estrategia efectiva para mejorar el clima laboral y aumentar la resiliencia operativa.  </w:t>
      </w:r>
    </w:p>
    <w:p w14:paraId="31BB742A" w14:textId="77777777" w:rsidR="00A70ABE" w:rsidRPr="00893253" w:rsidRDefault="00A70ABE" w:rsidP="000D1D85">
      <w:pPr>
        <w:spacing w:after="0" w:line="360" w:lineRule="auto"/>
        <w:jc w:val="both"/>
        <w:rPr>
          <w:rFonts w:cs="Times New Roman"/>
          <w:szCs w:val="24"/>
        </w:rPr>
      </w:pPr>
    </w:p>
    <w:p w14:paraId="6FE3007F" w14:textId="0D2EC5BF" w:rsidR="00DE1FAF" w:rsidRPr="00893253" w:rsidRDefault="00DE1FAF" w:rsidP="000D1D85">
      <w:pPr>
        <w:spacing w:after="0" w:line="360" w:lineRule="auto"/>
        <w:jc w:val="both"/>
        <w:rPr>
          <w:rFonts w:cs="Times New Roman"/>
          <w:szCs w:val="24"/>
        </w:rPr>
      </w:pPr>
      <w:r w:rsidRPr="00893253">
        <w:rPr>
          <w:rFonts w:cs="Times New Roman"/>
          <w:szCs w:val="24"/>
        </w:rPr>
        <w:t>Varios estudios indican que el empoderamiento del personal, compromiso gerencial y uso de herramientas digitales son facilitadores de la salud organizacional en contextos vulnerables (Ramírez &amp; Arango, 2021; OIT, 2020; Kluemper et al, 2019). Por ejemplo, durante la pandemia de COVID-19, muchas microempresas lograron mantener su actividad económica y el bienestar de su personal gracias a tecnologías de bajo costo para la comunicación, gestión del talento y ventas (Cuevas &amp; Martínez, 202</w:t>
      </w:r>
      <w:r w:rsidR="006F679F" w:rsidRPr="00893253">
        <w:rPr>
          <w:rFonts w:cs="Times New Roman"/>
          <w:szCs w:val="24"/>
        </w:rPr>
        <w:t>1</w:t>
      </w:r>
      <w:r w:rsidRPr="00893253">
        <w:rPr>
          <w:rFonts w:cs="Times New Roman"/>
          <w:szCs w:val="24"/>
        </w:rPr>
        <w:t>).</w:t>
      </w:r>
    </w:p>
    <w:p w14:paraId="7297087C" w14:textId="77777777" w:rsidR="00DE1FAF" w:rsidRPr="00893253" w:rsidRDefault="00DE1FAF" w:rsidP="000D1D85">
      <w:pPr>
        <w:spacing w:after="0" w:line="360" w:lineRule="auto"/>
        <w:jc w:val="both"/>
        <w:rPr>
          <w:rFonts w:cs="Times New Roman"/>
          <w:szCs w:val="24"/>
        </w:rPr>
      </w:pPr>
    </w:p>
    <w:p w14:paraId="272D8318" w14:textId="634F7EA6" w:rsidR="00DE1FAF" w:rsidRPr="00893253" w:rsidRDefault="00DE1FAF" w:rsidP="00D9667B">
      <w:pPr>
        <w:spacing w:line="360" w:lineRule="auto"/>
        <w:jc w:val="both"/>
        <w:rPr>
          <w:rFonts w:cs="Times New Roman"/>
          <w:b/>
          <w:bCs/>
          <w:szCs w:val="24"/>
        </w:rPr>
      </w:pPr>
      <w:r w:rsidRPr="00893253">
        <w:rPr>
          <w:rFonts w:cs="Times New Roman"/>
          <w:b/>
          <w:bCs/>
          <w:szCs w:val="24"/>
        </w:rPr>
        <w:t xml:space="preserve">Relevancia internacional del enfoque HERO  </w:t>
      </w:r>
    </w:p>
    <w:p w14:paraId="368E1714" w14:textId="46A2D99F" w:rsidR="00345940" w:rsidRPr="00893253" w:rsidRDefault="00DE1FAF" w:rsidP="000D1D85">
      <w:pPr>
        <w:spacing w:after="0" w:line="360" w:lineRule="auto"/>
        <w:jc w:val="both"/>
        <w:rPr>
          <w:rFonts w:cs="Times New Roman"/>
          <w:szCs w:val="24"/>
        </w:rPr>
      </w:pPr>
      <w:r w:rsidRPr="00893253">
        <w:rPr>
          <w:rFonts w:cs="Times New Roman"/>
          <w:szCs w:val="24"/>
        </w:rPr>
        <w:t>Debido a su enfoque integrador y su énfasis en la adaptación organizacional a contextos cambiantes, el modelo HERO puede ser una herramienta útil para países del Sur Global. Las economías emergentes comparten características como informalidad laboral, debilidad institucional y escasez de recursos tecnológicos. Esto hace necesario adaptar los marcos teóricos de gestión organizacional a realidades concretas (</w:t>
      </w:r>
      <w:r w:rsidR="004C2255" w:rsidRPr="00893253">
        <w:rPr>
          <w:rFonts w:cs="Times New Roman"/>
          <w:szCs w:val="24"/>
        </w:rPr>
        <w:t>Fierro et al, 2017</w:t>
      </w:r>
      <w:r w:rsidRPr="00893253">
        <w:rPr>
          <w:rFonts w:cs="Times New Roman"/>
          <w:szCs w:val="24"/>
        </w:rPr>
        <w:t>). Validar y ajustar el modelo HERO a microempresas operando en entornos humanitarios no solo responde a una necesidad local de investigación, sino que también enriquece el debate académico internacional sobre sostenibilidad organizacional en condiciones de vulnerabilidad.</w:t>
      </w:r>
    </w:p>
    <w:p w14:paraId="3A9C9C00" w14:textId="77777777" w:rsidR="0018444D" w:rsidRPr="00893253" w:rsidRDefault="0018444D" w:rsidP="000D1D85">
      <w:pPr>
        <w:spacing w:after="0" w:line="360" w:lineRule="auto"/>
        <w:jc w:val="both"/>
        <w:rPr>
          <w:rFonts w:cs="Times New Roman"/>
          <w:szCs w:val="24"/>
        </w:rPr>
      </w:pPr>
    </w:p>
    <w:p w14:paraId="03EAA696" w14:textId="20A60DD6" w:rsidR="00A70ABE" w:rsidRPr="00D9667B" w:rsidRDefault="00752EDC" w:rsidP="00D9667B">
      <w:pPr>
        <w:pStyle w:val="Prrafodelista"/>
        <w:numPr>
          <w:ilvl w:val="0"/>
          <w:numId w:val="22"/>
        </w:numPr>
        <w:spacing w:line="360" w:lineRule="auto"/>
        <w:rPr>
          <w:rFonts w:cs="Times New Roman"/>
          <w:b/>
          <w:bCs/>
          <w:szCs w:val="24"/>
        </w:rPr>
      </w:pPr>
      <w:r w:rsidRPr="00D9667B">
        <w:rPr>
          <w:rFonts w:cs="Times New Roman"/>
          <w:b/>
          <w:bCs/>
          <w:szCs w:val="24"/>
        </w:rPr>
        <w:t>METODOLOGÍA</w:t>
      </w:r>
    </w:p>
    <w:p w14:paraId="5D30B1CC" w14:textId="5A3F734A" w:rsidR="006F0E00" w:rsidRPr="00893253" w:rsidRDefault="006F0E00" w:rsidP="00D9667B">
      <w:pPr>
        <w:spacing w:line="360" w:lineRule="auto"/>
        <w:jc w:val="both"/>
        <w:rPr>
          <w:rFonts w:cs="Times New Roman"/>
          <w:b/>
          <w:bCs/>
          <w:szCs w:val="24"/>
        </w:rPr>
      </w:pPr>
      <w:r w:rsidRPr="00893253">
        <w:rPr>
          <w:rFonts w:cs="Times New Roman"/>
          <w:b/>
          <w:bCs/>
          <w:szCs w:val="24"/>
        </w:rPr>
        <w:t>Diseño de investigación</w:t>
      </w:r>
    </w:p>
    <w:p w14:paraId="732D0BD5" w14:textId="77275DE6" w:rsidR="00DE1FAF" w:rsidRPr="00893253" w:rsidRDefault="00DE1FAF" w:rsidP="000D1D85">
      <w:pPr>
        <w:spacing w:after="0" w:line="360" w:lineRule="auto"/>
        <w:jc w:val="both"/>
        <w:rPr>
          <w:rFonts w:cs="Times New Roman"/>
          <w:szCs w:val="24"/>
        </w:rPr>
      </w:pPr>
      <w:bookmarkStart w:id="2" w:name="_Hlk195216786"/>
      <w:r w:rsidRPr="00893253">
        <w:rPr>
          <w:rFonts w:cs="Times New Roman"/>
          <w:szCs w:val="24"/>
        </w:rPr>
        <w:t>Se utilizó un enfoque cuantitativo, no experimental, de tipo transversal y explicativo. Este abordaje busca validar empíricamente el modelo HERO (</w:t>
      </w:r>
      <w:proofErr w:type="spellStart"/>
      <w:r w:rsidRPr="00893253">
        <w:rPr>
          <w:rFonts w:cs="Times New Roman"/>
          <w:szCs w:val="24"/>
        </w:rPr>
        <w:t>Healthy</w:t>
      </w:r>
      <w:proofErr w:type="spellEnd"/>
      <w:r w:rsidRPr="00893253">
        <w:rPr>
          <w:rFonts w:cs="Times New Roman"/>
          <w:szCs w:val="24"/>
        </w:rPr>
        <w:t xml:space="preserve"> and </w:t>
      </w:r>
      <w:proofErr w:type="spellStart"/>
      <w:r w:rsidRPr="00893253">
        <w:rPr>
          <w:rFonts w:cs="Times New Roman"/>
          <w:szCs w:val="24"/>
        </w:rPr>
        <w:t>Resilient</w:t>
      </w:r>
      <w:proofErr w:type="spellEnd"/>
      <w:r w:rsidRPr="00893253">
        <w:rPr>
          <w:rFonts w:cs="Times New Roman"/>
          <w:szCs w:val="24"/>
        </w:rPr>
        <w:t xml:space="preserve"> </w:t>
      </w:r>
      <w:proofErr w:type="spellStart"/>
      <w:r w:rsidRPr="00893253">
        <w:rPr>
          <w:rFonts w:cs="Times New Roman"/>
          <w:szCs w:val="24"/>
        </w:rPr>
        <w:t>Organizations</w:t>
      </w:r>
      <w:proofErr w:type="spellEnd"/>
      <w:r w:rsidRPr="00893253">
        <w:rPr>
          <w:rFonts w:cs="Times New Roman"/>
          <w:szCs w:val="24"/>
        </w:rPr>
        <w:t>), adaptado al contexto de microempresas colombianas que operan en escenarios humanitarios. La validación del modelo se llevó a cabo mediante análisis de ecuaciones estructurales con mínimos cuadrados parciales (PLS-SEM), una técnica adecuada para modelos complejos y tamaños de muestra pequeños o moderados (Hair et al., 202</w:t>
      </w:r>
      <w:r w:rsidR="00C4747B" w:rsidRPr="00893253">
        <w:rPr>
          <w:rFonts w:cs="Times New Roman"/>
          <w:szCs w:val="24"/>
        </w:rPr>
        <w:t>2</w:t>
      </w:r>
      <w:r w:rsidRPr="00893253">
        <w:rPr>
          <w:rFonts w:cs="Times New Roman"/>
          <w:szCs w:val="24"/>
        </w:rPr>
        <w:t>).</w:t>
      </w:r>
      <w:r w:rsidR="000D1D85" w:rsidRPr="00893253">
        <w:rPr>
          <w:rFonts w:cs="Times New Roman"/>
          <w:szCs w:val="24"/>
        </w:rPr>
        <w:t xml:space="preserve"> </w:t>
      </w:r>
      <w:r w:rsidRPr="00893253">
        <w:rPr>
          <w:rFonts w:cs="Times New Roman"/>
          <w:szCs w:val="24"/>
        </w:rPr>
        <w:t xml:space="preserve">La elección de este enfoque se justifica por el carácter exploratorio de la </w:t>
      </w:r>
      <w:r w:rsidRPr="00893253">
        <w:rPr>
          <w:rFonts w:cs="Times New Roman"/>
          <w:szCs w:val="24"/>
        </w:rPr>
        <w:lastRenderedPageBreak/>
        <w:t>adaptación del modelo HERO y la naturaleza reflexiva de los constructos medidos. Estos constructos no se pueden observar directamente; se deben evaluar a través de variables latentes.</w:t>
      </w:r>
    </w:p>
    <w:p w14:paraId="222BF154" w14:textId="77777777" w:rsidR="00DE1FAF" w:rsidRPr="00893253" w:rsidRDefault="00DE1FAF" w:rsidP="000D1D85">
      <w:pPr>
        <w:spacing w:after="0" w:line="360" w:lineRule="auto"/>
        <w:jc w:val="both"/>
        <w:rPr>
          <w:rFonts w:cs="Times New Roman"/>
          <w:szCs w:val="24"/>
        </w:rPr>
      </w:pPr>
    </w:p>
    <w:p w14:paraId="0AD5DC3D" w14:textId="3ED1D668" w:rsidR="00DE1FAF" w:rsidRPr="00893253" w:rsidRDefault="00DE1FAF" w:rsidP="00D9667B">
      <w:pPr>
        <w:spacing w:line="360" w:lineRule="auto"/>
        <w:jc w:val="both"/>
        <w:rPr>
          <w:rFonts w:cs="Times New Roman"/>
          <w:b/>
          <w:bCs/>
          <w:szCs w:val="24"/>
        </w:rPr>
      </w:pPr>
      <w:r w:rsidRPr="00893253">
        <w:rPr>
          <w:rFonts w:cs="Times New Roman"/>
          <w:b/>
          <w:bCs/>
          <w:szCs w:val="24"/>
        </w:rPr>
        <w:t xml:space="preserve">Población y muestra  </w:t>
      </w:r>
    </w:p>
    <w:p w14:paraId="496ED6E4" w14:textId="77777777" w:rsidR="00DE1FAF" w:rsidRPr="00893253" w:rsidRDefault="00DE1FAF" w:rsidP="000D1D85">
      <w:pPr>
        <w:spacing w:after="0" w:line="360" w:lineRule="auto"/>
        <w:jc w:val="both"/>
        <w:rPr>
          <w:rFonts w:cs="Times New Roman"/>
          <w:szCs w:val="24"/>
        </w:rPr>
      </w:pPr>
      <w:r w:rsidRPr="00893253">
        <w:rPr>
          <w:rFonts w:cs="Times New Roman"/>
          <w:szCs w:val="24"/>
        </w:rPr>
        <w:t>La población consistió en microempresas localizadas en Villa del Rosario, un municipio fronterizo que recibe migración venezolana y desplazamiento interno. La selección de esta área fue estratégica debido a su alta densidad de población vulnerable y su dinámica empresarial informal.</w:t>
      </w:r>
    </w:p>
    <w:p w14:paraId="3C36D4A7" w14:textId="77777777" w:rsidR="00DE1FAF" w:rsidRPr="00893253" w:rsidRDefault="00DE1FAF" w:rsidP="000D1D85">
      <w:pPr>
        <w:spacing w:after="0" w:line="360" w:lineRule="auto"/>
        <w:jc w:val="both"/>
        <w:rPr>
          <w:rFonts w:cs="Times New Roman"/>
          <w:szCs w:val="24"/>
        </w:rPr>
      </w:pPr>
    </w:p>
    <w:p w14:paraId="13984B1C" w14:textId="56DD1C4D" w:rsidR="00A70ABE" w:rsidRDefault="00DE1FAF" w:rsidP="000D1D85">
      <w:pPr>
        <w:spacing w:after="0" w:line="360" w:lineRule="auto"/>
        <w:jc w:val="both"/>
        <w:rPr>
          <w:rFonts w:cs="Times New Roman"/>
          <w:szCs w:val="24"/>
        </w:rPr>
      </w:pPr>
      <w:r w:rsidRPr="00893253">
        <w:rPr>
          <w:rFonts w:cs="Times New Roman"/>
          <w:szCs w:val="24"/>
        </w:rPr>
        <w:t>Se aplicó un muestreo no probabilístico por conveniencia. La muestra final fue de 124 microempresas. Esta cantidad cumple con los requisitos mínimos para el uso de PLS-SEM, que recomienda tener al menos 10 veces el número máximo de caminos estructurales dirigidos a cualquier constructo en el modelo (Hair et al., 202</w:t>
      </w:r>
      <w:r w:rsidR="00C4747B" w:rsidRPr="00893253">
        <w:rPr>
          <w:rFonts w:cs="Times New Roman"/>
          <w:szCs w:val="24"/>
        </w:rPr>
        <w:t>2</w:t>
      </w:r>
      <w:r w:rsidRPr="00893253">
        <w:rPr>
          <w:rFonts w:cs="Times New Roman"/>
          <w:szCs w:val="24"/>
        </w:rPr>
        <w:t xml:space="preserve">). Los sectores económicos que se representaron en la muestra incluyen:  </w:t>
      </w:r>
    </w:p>
    <w:p w14:paraId="6973940A" w14:textId="77777777" w:rsidR="00A70ABE" w:rsidRPr="00893253" w:rsidRDefault="00A70ABE" w:rsidP="000D1D85">
      <w:pPr>
        <w:spacing w:after="0" w:line="360" w:lineRule="auto"/>
        <w:jc w:val="both"/>
        <w:rPr>
          <w:rFonts w:cs="Times New Roman"/>
          <w:szCs w:val="24"/>
        </w:rPr>
      </w:pPr>
    </w:p>
    <w:p w14:paraId="0123E9E6" w14:textId="77777777" w:rsidR="00DE1FAF" w:rsidRPr="00A70ABE" w:rsidRDefault="00DE1FAF" w:rsidP="00A70ABE">
      <w:pPr>
        <w:pStyle w:val="Prrafodelista"/>
        <w:numPr>
          <w:ilvl w:val="0"/>
          <w:numId w:val="23"/>
        </w:numPr>
        <w:spacing w:after="0" w:line="360" w:lineRule="auto"/>
        <w:jc w:val="both"/>
        <w:rPr>
          <w:rFonts w:cs="Times New Roman"/>
          <w:szCs w:val="24"/>
        </w:rPr>
      </w:pPr>
      <w:r w:rsidRPr="00A70ABE">
        <w:rPr>
          <w:rFonts w:cs="Times New Roman"/>
          <w:szCs w:val="24"/>
        </w:rPr>
        <w:t xml:space="preserve">Comercio al por menor (61%)  </w:t>
      </w:r>
    </w:p>
    <w:p w14:paraId="59D0D19A" w14:textId="77777777" w:rsidR="00DE1FAF" w:rsidRPr="00A70ABE" w:rsidRDefault="00DE1FAF" w:rsidP="00A70ABE">
      <w:pPr>
        <w:pStyle w:val="Prrafodelista"/>
        <w:numPr>
          <w:ilvl w:val="0"/>
          <w:numId w:val="23"/>
        </w:numPr>
        <w:spacing w:after="0" w:line="360" w:lineRule="auto"/>
        <w:jc w:val="both"/>
        <w:rPr>
          <w:rFonts w:cs="Times New Roman"/>
          <w:szCs w:val="24"/>
        </w:rPr>
      </w:pPr>
      <w:r w:rsidRPr="00A70ABE">
        <w:rPr>
          <w:rFonts w:cs="Times New Roman"/>
          <w:szCs w:val="24"/>
        </w:rPr>
        <w:t xml:space="preserve">Servicios personales (28%)  </w:t>
      </w:r>
    </w:p>
    <w:p w14:paraId="3B05F1DD" w14:textId="77777777" w:rsidR="00DE1FAF" w:rsidRPr="00A70ABE" w:rsidRDefault="00DE1FAF" w:rsidP="00A70ABE">
      <w:pPr>
        <w:pStyle w:val="Prrafodelista"/>
        <w:numPr>
          <w:ilvl w:val="0"/>
          <w:numId w:val="23"/>
        </w:numPr>
        <w:spacing w:after="0" w:line="360" w:lineRule="auto"/>
        <w:jc w:val="both"/>
        <w:rPr>
          <w:rFonts w:cs="Times New Roman"/>
          <w:szCs w:val="24"/>
        </w:rPr>
      </w:pPr>
      <w:r w:rsidRPr="00A70ABE">
        <w:rPr>
          <w:rFonts w:cs="Times New Roman"/>
          <w:szCs w:val="24"/>
        </w:rPr>
        <w:t xml:space="preserve">Manufactura liviana (11%)  </w:t>
      </w:r>
    </w:p>
    <w:p w14:paraId="6E1C8652" w14:textId="77777777" w:rsidR="00DE1FAF" w:rsidRPr="00893253" w:rsidRDefault="00DE1FAF" w:rsidP="000D1D85">
      <w:pPr>
        <w:spacing w:after="0" w:line="360" w:lineRule="auto"/>
        <w:jc w:val="both"/>
        <w:rPr>
          <w:rFonts w:cs="Times New Roman"/>
          <w:szCs w:val="24"/>
        </w:rPr>
      </w:pPr>
    </w:p>
    <w:p w14:paraId="65776741" w14:textId="79903667" w:rsidR="001179A3" w:rsidRPr="001179A3" w:rsidRDefault="00DE1FAF" w:rsidP="000D1D85">
      <w:pPr>
        <w:spacing w:after="0" w:line="360" w:lineRule="auto"/>
        <w:jc w:val="both"/>
        <w:rPr>
          <w:rFonts w:cs="Times New Roman"/>
          <w:b/>
          <w:bCs/>
          <w:szCs w:val="24"/>
        </w:rPr>
      </w:pPr>
      <w:r w:rsidRPr="001179A3">
        <w:rPr>
          <w:rFonts w:cs="Times New Roman"/>
          <w:b/>
          <w:bCs/>
          <w:i/>
          <w:iCs/>
          <w:szCs w:val="24"/>
        </w:rPr>
        <w:t>Valor agregado empírico</w:t>
      </w:r>
    </w:p>
    <w:p w14:paraId="5759EC3A" w14:textId="31BAC72A" w:rsidR="00DE1FAF" w:rsidRPr="00893253" w:rsidRDefault="00DE1FAF" w:rsidP="000D1D85">
      <w:pPr>
        <w:spacing w:after="0" w:line="360" w:lineRule="auto"/>
        <w:jc w:val="both"/>
        <w:rPr>
          <w:rFonts w:cs="Times New Roman"/>
          <w:szCs w:val="24"/>
        </w:rPr>
      </w:pPr>
      <w:r w:rsidRPr="00893253">
        <w:rPr>
          <w:rFonts w:cs="Times New Roman"/>
          <w:szCs w:val="24"/>
        </w:rPr>
        <w:t xml:space="preserve">A diferencia de las estadísticas agregadas de fuentes oficiales, este estudio se centra en el nivel </w:t>
      </w:r>
      <w:proofErr w:type="spellStart"/>
      <w:r w:rsidRPr="00893253">
        <w:rPr>
          <w:rFonts w:cs="Times New Roman"/>
          <w:szCs w:val="24"/>
        </w:rPr>
        <w:t>microorganizacional</w:t>
      </w:r>
      <w:proofErr w:type="spellEnd"/>
      <w:r w:rsidRPr="00893253">
        <w:rPr>
          <w:rFonts w:cs="Times New Roman"/>
          <w:szCs w:val="24"/>
        </w:rPr>
        <w:t xml:space="preserve"> y en unidades productivas predominantemente informales. La dinámica interna de estas empresas rara vez es capturada por los sistemas estadísticos nacionales. La recolección de información primaria permitió examinar prácticas de gestión y procesos de digitalización que no aparecen en registros administrativos convencionales. Esto refuerza el valor empírico de este trabajo.</w:t>
      </w:r>
    </w:p>
    <w:p w14:paraId="2FC85167" w14:textId="77777777" w:rsidR="00DE1FAF" w:rsidRPr="00893253" w:rsidRDefault="00DE1FAF" w:rsidP="000D1D85">
      <w:pPr>
        <w:spacing w:after="0" w:line="360" w:lineRule="auto"/>
        <w:jc w:val="both"/>
        <w:rPr>
          <w:rFonts w:cs="Times New Roman"/>
          <w:szCs w:val="24"/>
        </w:rPr>
      </w:pPr>
    </w:p>
    <w:p w14:paraId="32E79836"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Según datos de la OIM (2022), Villa del Rosario tiene uno de los mayores índices de recepción de población vulnerable en el país. Por ello, es un escenario altamente representativo de contextos humanitarios complejos. Además, la densidad de </w:t>
      </w:r>
      <w:r w:rsidRPr="00893253">
        <w:rPr>
          <w:rFonts w:cs="Times New Roman"/>
          <w:szCs w:val="24"/>
        </w:rPr>
        <w:lastRenderedPageBreak/>
        <w:t>microempresas en la zona, muchas de ellas informales o recién creadas, facilita evaluar cómo estas organizaciones enfrentan condiciones estructurales difíciles. Incluirlas como caso de estudio permite verificar la aplicabilidad del modelo HERO en un entorno de alta presión social, institucional y económica, aportando evidencia empírica valiosa para situaciones similares en América Latina. Estas microempresas operan con alta vulnerabilidad institucional y económica, formando una muestra representativa del tejido empresarial informal del país.</w:t>
      </w:r>
    </w:p>
    <w:p w14:paraId="79C72781" w14:textId="77777777" w:rsidR="00DE1FAF" w:rsidRPr="00893253" w:rsidRDefault="00DE1FAF" w:rsidP="000D1D85">
      <w:pPr>
        <w:spacing w:after="0" w:line="360" w:lineRule="auto"/>
        <w:jc w:val="both"/>
        <w:rPr>
          <w:rFonts w:cs="Times New Roman"/>
          <w:szCs w:val="24"/>
        </w:rPr>
      </w:pPr>
    </w:p>
    <w:p w14:paraId="68438289" w14:textId="5909D22C" w:rsidR="00DE1FAF" w:rsidRPr="00893253" w:rsidRDefault="00DE1FAF" w:rsidP="000D1D85">
      <w:pPr>
        <w:spacing w:after="0" w:line="360" w:lineRule="auto"/>
        <w:jc w:val="both"/>
        <w:rPr>
          <w:rFonts w:cs="Times New Roman"/>
          <w:b/>
          <w:bCs/>
          <w:szCs w:val="24"/>
        </w:rPr>
      </w:pPr>
      <w:r w:rsidRPr="00893253">
        <w:rPr>
          <w:rFonts w:cs="Times New Roman"/>
          <w:b/>
          <w:bCs/>
          <w:szCs w:val="24"/>
        </w:rPr>
        <w:t xml:space="preserve">Instrumento de recolección de datos  </w:t>
      </w:r>
    </w:p>
    <w:p w14:paraId="00F3B996" w14:textId="77777777" w:rsidR="00DE1FAF" w:rsidRDefault="00DE1FAF" w:rsidP="000D1D85">
      <w:pPr>
        <w:spacing w:after="0" w:line="360" w:lineRule="auto"/>
        <w:jc w:val="both"/>
        <w:rPr>
          <w:rFonts w:cs="Times New Roman"/>
          <w:szCs w:val="24"/>
        </w:rPr>
      </w:pPr>
      <w:r w:rsidRPr="00893253">
        <w:rPr>
          <w:rFonts w:cs="Times New Roman"/>
          <w:szCs w:val="24"/>
        </w:rPr>
        <w:t>En la validación del cuestionario se realizaron juicios de expertos y una prueba piloto con un grupo pequeño de 10 microempresas en condiciones similares a las del contexto de estudio. Esta etapa permitió verificar la claridad de los ítems, la adecuación de las escalas de medición y la comprensión general por parte de los participantes. Además, se hizo un análisis factorial exploratorio preliminar para confirmar la adecuación de la estructura interna del instrumento antes de su aplicación final, lo cual mejoró la validez de contenido y constructo de las escalas utilizadas.</w:t>
      </w:r>
    </w:p>
    <w:p w14:paraId="29C56AB5" w14:textId="77777777" w:rsidR="00A70ABE" w:rsidRPr="00893253" w:rsidRDefault="00A70ABE" w:rsidP="000D1D85">
      <w:pPr>
        <w:spacing w:after="0" w:line="360" w:lineRule="auto"/>
        <w:jc w:val="both"/>
        <w:rPr>
          <w:rFonts w:cs="Times New Roman"/>
          <w:szCs w:val="24"/>
        </w:rPr>
      </w:pPr>
    </w:p>
    <w:p w14:paraId="62655A9F" w14:textId="77777777" w:rsidR="00DE1FAF" w:rsidRDefault="00DE1FAF" w:rsidP="000D1D85">
      <w:pPr>
        <w:spacing w:after="0" w:line="360" w:lineRule="auto"/>
        <w:jc w:val="both"/>
        <w:rPr>
          <w:rFonts w:cs="Times New Roman"/>
          <w:szCs w:val="24"/>
        </w:rPr>
      </w:pPr>
      <w:r w:rsidRPr="00893253">
        <w:rPr>
          <w:rFonts w:cs="Times New Roman"/>
          <w:szCs w:val="24"/>
        </w:rPr>
        <w:t xml:space="preserve">Se aplicó un cuestionario Likert de cinco puntos que midió siete variables agrupadas en dimensiones del modelo HERO adaptado.  </w:t>
      </w:r>
    </w:p>
    <w:p w14:paraId="05AB2CE2" w14:textId="77777777" w:rsidR="00A70ABE" w:rsidRPr="00A70ABE" w:rsidRDefault="00A70ABE" w:rsidP="000D1D85">
      <w:pPr>
        <w:spacing w:after="0" w:line="360" w:lineRule="auto"/>
        <w:jc w:val="both"/>
        <w:rPr>
          <w:rFonts w:cs="Times New Roman"/>
          <w:b/>
          <w:bCs/>
          <w:szCs w:val="24"/>
        </w:rPr>
      </w:pPr>
    </w:p>
    <w:p w14:paraId="65528241" w14:textId="77777777" w:rsidR="00DE1FAF" w:rsidRPr="007307AA" w:rsidRDefault="00DE1FAF" w:rsidP="007307AA">
      <w:pPr>
        <w:spacing w:line="360" w:lineRule="auto"/>
        <w:jc w:val="both"/>
        <w:rPr>
          <w:rFonts w:cs="Times New Roman"/>
          <w:b/>
          <w:bCs/>
          <w:i/>
          <w:iCs/>
          <w:szCs w:val="24"/>
        </w:rPr>
      </w:pPr>
      <w:r w:rsidRPr="007307AA">
        <w:rPr>
          <w:rFonts w:cs="Times New Roman"/>
          <w:b/>
          <w:bCs/>
          <w:i/>
          <w:iCs/>
          <w:szCs w:val="24"/>
        </w:rPr>
        <w:t xml:space="preserve">a) Salud del personal (Empleados saludables):  </w:t>
      </w:r>
    </w:p>
    <w:p w14:paraId="295BDCC5"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SP1: Empoderamiento del personal  </w:t>
      </w:r>
    </w:p>
    <w:p w14:paraId="44312D49"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SP2: Compromiso gerencial  </w:t>
      </w:r>
    </w:p>
    <w:p w14:paraId="2DA31A72" w14:textId="77777777" w:rsidR="00DE1FAF" w:rsidRPr="00893253" w:rsidRDefault="00DE1FAF" w:rsidP="007307AA">
      <w:pPr>
        <w:spacing w:line="360" w:lineRule="auto"/>
        <w:jc w:val="both"/>
        <w:rPr>
          <w:rFonts w:cs="Times New Roman"/>
          <w:szCs w:val="24"/>
        </w:rPr>
      </w:pPr>
      <w:r w:rsidRPr="00893253">
        <w:rPr>
          <w:rFonts w:cs="Times New Roman"/>
          <w:szCs w:val="24"/>
        </w:rPr>
        <w:t xml:space="preserve">SP3: Sentido de pertenencia  </w:t>
      </w:r>
    </w:p>
    <w:p w14:paraId="653A417B" w14:textId="77777777" w:rsidR="00DE1FAF" w:rsidRPr="007307AA" w:rsidRDefault="00DE1FAF" w:rsidP="007307AA">
      <w:pPr>
        <w:spacing w:line="360" w:lineRule="auto"/>
        <w:jc w:val="both"/>
        <w:rPr>
          <w:rFonts w:cs="Times New Roman"/>
          <w:b/>
          <w:bCs/>
          <w:i/>
          <w:iCs/>
          <w:szCs w:val="24"/>
        </w:rPr>
      </w:pPr>
      <w:r w:rsidRPr="007307AA">
        <w:rPr>
          <w:rFonts w:cs="Times New Roman"/>
          <w:b/>
          <w:bCs/>
          <w:i/>
          <w:iCs/>
          <w:szCs w:val="24"/>
        </w:rPr>
        <w:t xml:space="preserve">b) Prácticas y recursos organizacionales:  </w:t>
      </w:r>
    </w:p>
    <w:p w14:paraId="06EF0320"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RO1: Uso de redes sociales  </w:t>
      </w:r>
    </w:p>
    <w:p w14:paraId="1A578445" w14:textId="77777777" w:rsidR="00DE1FAF" w:rsidRPr="00893253" w:rsidRDefault="00DE1FAF" w:rsidP="000D1D85">
      <w:pPr>
        <w:spacing w:after="0" w:line="360" w:lineRule="auto"/>
        <w:jc w:val="both"/>
        <w:rPr>
          <w:rFonts w:cs="Times New Roman"/>
          <w:szCs w:val="24"/>
        </w:rPr>
      </w:pPr>
      <w:r w:rsidRPr="00893253">
        <w:rPr>
          <w:rFonts w:cs="Times New Roman"/>
          <w:szCs w:val="24"/>
        </w:rPr>
        <w:t xml:space="preserve">RO2: Satisfacción del cliente  </w:t>
      </w:r>
    </w:p>
    <w:p w14:paraId="2A7A13E6" w14:textId="77777777" w:rsidR="00DE1FAF" w:rsidRPr="00893253" w:rsidRDefault="00DE1FAF" w:rsidP="007307AA">
      <w:pPr>
        <w:spacing w:line="360" w:lineRule="auto"/>
        <w:jc w:val="both"/>
        <w:rPr>
          <w:rFonts w:cs="Times New Roman"/>
          <w:szCs w:val="24"/>
        </w:rPr>
      </w:pPr>
      <w:r w:rsidRPr="00893253">
        <w:rPr>
          <w:rFonts w:cs="Times New Roman"/>
          <w:szCs w:val="24"/>
        </w:rPr>
        <w:t xml:space="preserve">RO3: Implementación de herramientas digitales  </w:t>
      </w:r>
    </w:p>
    <w:p w14:paraId="285A2750" w14:textId="77777777" w:rsidR="00DE1FAF" w:rsidRPr="007307AA" w:rsidRDefault="00DE1FAF" w:rsidP="007307AA">
      <w:pPr>
        <w:spacing w:line="360" w:lineRule="auto"/>
        <w:jc w:val="both"/>
        <w:rPr>
          <w:rFonts w:cs="Times New Roman"/>
          <w:b/>
          <w:bCs/>
          <w:i/>
          <w:iCs/>
          <w:szCs w:val="24"/>
        </w:rPr>
      </w:pPr>
      <w:r w:rsidRPr="007307AA">
        <w:rPr>
          <w:rFonts w:cs="Times New Roman"/>
          <w:b/>
          <w:bCs/>
          <w:i/>
          <w:iCs/>
          <w:szCs w:val="24"/>
        </w:rPr>
        <w:t xml:space="preserve">c) Resultados organizacionales:  </w:t>
      </w:r>
    </w:p>
    <w:p w14:paraId="25A2E9DA" w14:textId="77777777" w:rsidR="00DE1FAF" w:rsidRPr="00893253" w:rsidRDefault="00DE1FAF" w:rsidP="000D1D85">
      <w:pPr>
        <w:spacing w:after="0" w:line="360" w:lineRule="auto"/>
        <w:jc w:val="both"/>
        <w:rPr>
          <w:rFonts w:cs="Times New Roman"/>
          <w:szCs w:val="24"/>
        </w:rPr>
      </w:pPr>
      <w:r w:rsidRPr="00893253">
        <w:rPr>
          <w:rFonts w:cs="Times New Roman"/>
          <w:szCs w:val="24"/>
        </w:rPr>
        <w:lastRenderedPageBreak/>
        <w:t xml:space="preserve">POS1: Apoyo gerencial en el uso de recursos digitales durante la pandemia  </w:t>
      </w:r>
    </w:p>
    <w:p w14:paraId="5A3A10B8" w14:textId="77777777" w:rsidR="00DE1FAF" w:rsidRPr="00893253" w:rsidRDefault="00DE1FAF" w:rsidP="000D1D85">
      <w:pPr>
        <w:spacing w:after="0" w:line="360" w:lineRule="auto"/>
        <w:jc w:val="both"/>
        <w:rPr>
          <w:rFonts w:cs="Times New Roman"/>
          <w:szCs w:val="24"/>
        </w:rPr>
      </w:pPr>
    </w:p>
    <w:p w14:paraId="6346CF57" w14:textId="23E478EB" w:rsidR="00DE1FAF" w:rsidRDefault="00DE1FAF" w:rsidP="000D1D85">
      <w:pPr>
        <w:spacing w:after="0" w:line="360" w:lineRule="auto"/>
        <w:jc w:val="both"/>
        <w:rPr>
          <w:rFonts w:cs="Times New Roman"/>
          <w:szCs w:val="24"/>
        </w:rPr>
      </w:pPr>
      <w:r w:rsidRPr="00893253">
        <w:rPr>
          <w:rFonts w:cs="Times New Roman"/>
          <w:szCs w:val="24"/>
        </w:rPr>
        <w:t>Las escalas se diseñaron basándose en adaptaciones de instrumentos previamente validados en estudios sobre salud organizacional y resiliencia (</w:t>
      </w:r>
      <w:proofErr w:type="spellStart"/>
      <w:r w:rsidRPr="00893253">
        <w:rPr>
          <w:rFonts w:cs="Times New Roman"/>
          <w:szCs w:val="24"/>
        </w:rPr>
        <w:t>Salanova</w:t>
      </w:r>
      <w:proofErr w:type="spellEnd"/>
      <w:r w:rsidRPr="00893253">
        <w:rPr>
          <w:rFonts w:cs="Times New Roman"/>
          <w:szCs w:val="24"/>
        </w:rPr>
        <w:t xml:space="preserve"> et al., 2012; </w:t>
      </w:r>
      <w:r w:rsidR="004C2255" w:rsidRPr="00893253">
        <w:rPr>
          <w:rFonts w:cs="Times New Roman"/>
          <w:szCs w:val="24"/>
        </w:rPr>
        <w:t>Gonzales &amp; Martínez, 2019</w:t>
      </w:r>
      <w:r w:rsidRPr="00893253">
        <w:rPr>
          <w:rFonts w:cs="Times New Roman"/>
          <w:szCs w:val="24"/>
        </w:rPr>
        <w:t>).</w:t>
      </w:r>
    </w:p>
    <w:p w14:paraId="09CBCB95" w14:textId="77777777" w:rsidR="00A70ABE" w:rsidRDefault="00A70ABE" w:rsidP="000D1D85">
      <w:pPr>
        <w:spacing w:after="0" w:line="360" w:lineRule="auto"/>
        <w:jc w:val="both"/>
        <w:rPr>
          <w:rFonts w:cs="Times New Roman"/>
          <w:szCs w:val="24"/>
        </w:rPr>
      </w:pPr>
    </w:p>
    <w:p w14:paraId="60F4FBC7" w14:textId="77777777" w:rsidR="007307AA" w:rsidRPr="00893253" w:rsidRDefault="007307AA" w:rsidP="000D1D85">
      <w:pPr>
        <w:spacing w:after="0" w:line="360" w:lineRule="auto"/>
        <w:jc w:val="both"/>
        <w:rPr>
          <w:rFonts w:cs="Times New Roman"/>
          <w:szCs w:val="24"/>
        </w:rPr>
      </w:pPr>
    </w:p>
    <w:p w14:paraId="78DEBFD6" w14:textId="635208DD" w:rsidR="00DE1FAF" w:rsidRPr="00893253" w:rsidRDefault="00DE1FAF" w:rsidP="007307AA">
      <w:pPr>
        <w:spacing w:line="360" w:lineRule="auto"/>
        <w:jc w:val="both"/>
        <w:rPr>
          <w:rFonts w:cs="Times New Roman"/>
          <w:b/>
          <w:bCs/>
          <w:szCs w:val="24"/>
        </w:rPr>
      </w:pPr>
      <w:r w:rsidRPr="00893253">
        <w:rPr>
          <w:rFonts w:cs="Times New Roman"/>
          <w:b/>
          <w:bCs/>
          <w:szCs w:val="24"/>
        </w:rPr>
        <w:t xml:space="preserve">Análisis de datos  </w:t>
      </w:r>
    </w:p>
    <w:p w14:paraId="147276E5" w14:textId="42ABEA85" w:rsidR="00DE1FAF" w:rsidRPr="00893253" w:rsidRDefault="00DE1FAF" w:rsidP="000D1D85">
      <w:pPr>
        <w:spacing w:after="0" w:line="360" w:lineRule="auto"/>
        <w:jc w:val="both"/>
        <w:rPr>
          <w:rFonts w:cs="Times New Roman"/>
          <w:szCs w:val="24"/>
        </w:rPr>
      </w:pPr>
      <w:r w:rsidRPr="00893253">
        <w:rPr>
          <w:rFonts w:cs="Times New Roman"/>
          <w:szCs w:val="24"/>
        </w:rPr>
        <w:t xml:space="preserve">El análisis se realizó usando </w:t>
      </w:r>
      <w:proofErr w:type="spellStart"/>
      <w:r w:rsidRPr="00893253">
        <w:rPr>
          <w:rFonts w:cs="Times New Roman"/>
          <w:szCs w:val="24"/>
        </w:rPr>
        <w:t>SmartPLS</w:t>
      </w:r>
      <w:proofErr w:type="spellEnd"/>
      <w:r w:rsidRPr="00893253">
        <w:rPr>
          <w:rFonts w:cs="Times New Roman"/>
          <w:szCs w:val="24"/>
        </w:rPr>
        <w:t xml:space="preserve"> 4.0, siguiendo criterios de confiabilidad, validez convergente, validez discriminante y evaluación estructural con </w:t>
      </w:r>
      <w:proofErr w:type="spellStart"/>
      <w:r w:rsidRPr="00893253">
        <w:rPr>
          <w:rFonts w:cs="Times New Roman"/>
          <w:szCs w:val="24"/>
        </w:rPr>
        <w:t>bootstrapping</w:t>
      </w:r>
      <w:proofErr w:type="spellEnd"/>
      <w:r w:rsidRPr="00893253">
        <w:rPr>
          <w:rFonts w:cs="Times New Roman"/>
          <w:szCs w:val="24"/>
        </w:rPr>
        <w:t xml:space="preserve"> de 5,000 submuestras. Este análisis se basa en el método de ecuaciones estructurales con mínimos cuadrados parciales (PLS-SEM). Se eligió esta técnica por su idoneidad para modelos exploratorios, complejos y con estructuras formativas o reflectivas. También es robusta ante muestras pequeñas o distribuciones no normales (Hair et al., 202</w:t>
      </w:r>
      <w:r w:rsidR="002364FC" w:rsidRPr="00893253">
        <w:rPr>
          <w:rFonts w:cs="Times New Roman"/>
          <w:szCs w:val="24"/>
        </w:rPr>
        <w:t>2</w:t>
      </w:r>
      <w:r w:rsidRPr="00893253">
        <w:rPr>
          <w:rFonts w:cs="Times New Roman"/>
          <w:szCs w:val="24"/>
        </w:rPr>
        <w:t>).</w:t>
      </w:r>
    </w:p>
    <w:p w14:paraId="0647F64D" w14:textId="77777777" w:rsidR="00DE1FAF" w:rsidRPr="00893253" w:rsidRDefault="00DE1FAF" w:rsidP="000D1D85">
      <w:pPr>
        <w:spacing w:after="0" w:line="360" w:lineRule="auto"/>
        <w:jc w:val="both"/>
        <w:rPr>
          <w:rFonts w:cs="Times New Roman"/>
          <w:szCs w:val="24"/>
        </w:rPr>
      </w:pPr>
    </w:p>
    <w:p w14:paraId="11C0A9EA" w14:textId="73E0984F" w:rsidR="00DE1FAF" w:rsidRPr="00893253" w:rsidRDefault="00DE1FAF" w:rsidP="007307AA">
      <w:pPr>
        <w:spacing w:line="360" w:lineRule="auto"/>
        <w:jc w:val="both"/>
        <w:rPr>
          <w:rFonts w:cs="Times New Roman"/>
          <w:b/>
          <w:bCs/>
          <w:szCs w:val="24"/>
        </w:rPr>
      </w:pPr>
      <w:r w:rsidRPr="00893253">
        <w:rPr>
          <w:rFonts w:cs="Times New Roman"/>
          <w:b/>
          <w:bCs/>
          <w:szCs w:val="24"/>
        </w:rPr>
        <w:t xml:space="preserve">Evaluación del modelo estructural  </w:t>
      </w:r>
    </w:p>
    <w:p w14:paraId="0FCF9C14" w14:textId="7BCFF33F" w:rsidR="006F0E00" w:rsidRPr="00893253" w:rsidRDefault="00DE1FAF" w:rsidP="000D1D85">
      <w:pPr>
        <w:spacing w:after="0" w:line="360" w:lineRule="auto"/>
        <w:jc w:val="both"/>
        <w:rPr>
          <w:rFonts w:cs="Times New Roman"/>
          <w:szCs w:val="24"/>
        </w:rPr>
      </w:pPr>
      <w:r w:rsidRPr="00893253">
        <w:rPr>
          <w:rFonts w:cs="Times New Roman"/>
          <w:szCs w:val="24"/>
        </w:rPr>
        <w:t>El modelo propuesto tiene tres constructos latentes de tipo reflectivo, medidos a través de un total de 7 indicadores observables. Las relaciones entre variables se especificaron según la teoría del modelo HERO y se evaluaron de forma confirmatoria. Se revisó la validez del modelo de medición mediante la confiabilidad individual del ítem (cargas ≥ 0.70), confiabilidad compuesta (≥ 0.70), validez convergente a través del AVE (≥ 0.50) y validez discriminante usando los criterios de Fornell-</w:t>
      </w:r>
      <w:proofErr w:type="spellStart"/>
      <w:r w:rsidRPr="00893253">
        <w:rPr>
          <w:rFonts w:cs="Times New Roman"/>
          <w:szCs w:val="24"/>
        </w:rPr>
        <w:t>Larcker</w:t>
      </w:r>
      <w:proofErr w:type="spellEnd"/>
      <w:r w:rsidRPr="00893253">
        <w:rPr>
          <w:rFonts w:cs="Times New Roman"/>
          <w:szCs w:val="24"/>
        </w:rPr>
        <w:t xml:space="preserve"> y HTMT, de acuerdo con las recomendaciones de Hair et al. (202</w:t>
      </w:r>
      <w:r w:rsidR="002364FC" w:rsidRPr="00893253">
        <w:rPr>
          <w:rFonts w:cs="Times New Roman"/>
          <w:szCs w:val="24"/>
        </w:rPr>
        <w:t>2</w:t>
      </w:r>
      <w:r w:rsidRPr="00893253">
        <w:rPr>
          <w:rFonts w:cs="Times New Roman"/>
          <w:szCs w:val="24"/>
        </w:rPr>
        <w:t xml:space="preserve">). Luego, se evaluó el modelo estructural analizando la significancia de los coeficientes de regresión (mediante </w:t>
      </w:r>
      <w:proofErr w:type="spellStart"/>
      <w:r w:rsidRPr="00893253">
        <w:rPr>
          <w:rFonts w:cs="Times New Roman"/>
          <w:szCs w:val="24"/>
        </w:rPr>
        <w:t>bootstrapping</w:t>
      </w:r>
      <w:proofErr w:type="spellEnd"/>
      <w:r w:rsidRPr="00893253">
        <w:rPr>
          <w:rFonts w:cs="Times New Roman"/>
          <w:szCs w:val="24"/>
        </w:rPr>
        <w:t xml:space="preserve"> con 5,000 </w:t>
      </w:r>
      <w:proofErr w:type="spellStart"/>
      <w:r w:rsidRPr="00893253">
        <w:rPr>
          <w:rFonts w:cs="Times New Roman"/>
          <w:szCs w:val="24"/>
        </w:rPr>
        <w:t>remuestreos</w:t>
      </w:r>
      <w:proofErr w:type="spellEnd"/>
      <w:r w:rsidRPr="00893253">
        <w:rPr>
          <w:rFonts w:cs="Times New Roman"/>
          <w:szCs w:val="24"/>
        </w:rPr>
        <w:t>), la colinealidad (VIF &lt; 5), el coeficiente de determinación R², los efectos f² y la relevancia predictiva Q² (Stone-Geisser). En resumen, se aplicaron las recomendaciones actuales para validar modelos PLS-SEM, siguiendo las guías de Hair et al. (202</w:t>
      </w:r>
      <w:r w:rsidR="002364FC" w:rsidRPr="00893253">
        <w:rPr>
          <w:rFonts w:cs="Times New Roman"/>
          <w:szCs w:val="24"/>
        </w:rPr>
        <w:t>2</w:t>
      </w:r>
      <w:r w:rsidRPr="00893253">
        <w:rPr>
          <w:rFonts w:cs="Times New Roman"/>
          <w:szCs w:val="24"/>
        </w:rPr>
        <w:t xml:space="preserve">), Henseler et al. (2015), y Sarstedt et al. (2021). Este enfoque permite identificar relaciones significativas entre prácticas organizacionales, recursos digitales, salud organizacional y bienestar laboral en microempresas expuestas a condiciones </w:t>
      </w:r>
      <w:r w:rsidR="00C33751" w:rsidRPr="00893253">
        <w:rPr>
          <w:rFonts w:cs="Times New Roman"/>
          <w:szCs w:val="24"/>
        </w:rPr>
        <w:t>humanitarias.</w:t>
      </w:r>
    </w:p>
    <w:p w14:paraId="2AA36D5B" w14:textId="77777777" w:rsidR="002A3230" w:rsidRPr="00893253" w:rsidRDefault="002A3230" w:rsidP="000D1D85">
      <w:pPr>
        <w:spacing w:after="0" w:line="360" w:lineRule="auto"/>
        <w:jc w:val="both"/>
        <w:rPr>
          <w:rFonts w:cs="Times New Roman"/>
          <w:szCs w:val="24"/>
        </w:rPr>
      </w:pPr>
    </w:p>
    <w:bookmarkEnd w:id="2"/>
    <w:p w14:paraId="62B8B6D2" w14:textId="5540CB11" w:rsidR="00166DC5" w:rsidRPr="007307AA" w:rsidRDefault="00752EDC" w:rsidP="007307AA">
      <w:pPr>
        <w:pStyle w:val="Prrafodelista"/>
        <w:numPr>
          <w:ilvl w:val="0"/>
          <w:numId w:val="22"/>
        </w:numPr>
        <w:spacing w:line="360" w:lineRule="auto"/>
        <w:rPr>
          <w:rFonts w:cs="Times New Roman"/>
          <w:b/>
          <w:bCs/>
          <w:szCs w:val="24"/>
        </w:rPr>
      </w:pPr>
      <w:r w:rsidRPr="00D9667B">
        <w:rPr>
          <w:rFonts w:cs="Times New Roman"/>
          <w:b/>
          <w:bCs/>
          <w:szCs w:val="24"/>
        </w:rPr>
        <w:t>RESULTADOS</w:t>
      </w:r>
    </w:p>
    <w:p w14:paraId="5270DEBB" w14:textId="17F943C8" w:rsidR="00BE41DD" w:rsidRPr="00893253" w:rsidRDefault="00B42CA5" w:rsidP="007307AA">
      <w:pPr>
        <w:spacing w:line="360" w:lineRule="auto"/>
        <w:jc w:val="both"/>
        <w:rPr>
          <w:rFonts w:cs="Times New Roman"/>
          <w:b/>
          <w:bCs/>
          <w:szCs w:val="24"/>
        </w:rPr>
      </w:pPr>
      <w:r w:rsidRPr="00893253">
        <w:rPr>
          <w:rFonts w:cs="Times New Roman"/>
          <w:b/>
          <w:bCs/>
          <w:szCs w:val="24"/>
        </w:rPr>
        <w:t>Caracterización de la muestra</w:t>
      </w:r>
    </w:p>
    <w:p w14:paraId="3D844CFF" w14:textId="055F4396" w:rsidR="00BE41DD" w:rsidRPr="00893253" w:rsidRDefault="00BE41DD" w:rsidP="000D1D85">
      <w:pPr>
        <w:spacing w:after="0" w:line="360" w:lineRule="auto"/>
        <w:jc w:val="both"/>
        <w:rPr>
          <w:rFonts w:cs="Times New Roman"/>
          <w:szCs w:val="24"/>
        </w:rPr>
      </w:pPr>
      <w:r w:rsidRPr="00893253">
        <w:rPr>
          <w:rFonts w:cs="Times New Roman"/>
          <w:szCs w:val="24"/>
        </w:rPr>
        <w:t>La muestra final se compuso de 124 microempresas</w:t>
      </w:r>
      <w:r w:rsidR="00B42CA5" w:rsidRPr="00893253">
        <w:rPr>
          <w:rFonts w:cs="Times New Roman"/>
          <w:szCs w:val="24"/>
        </w:rPr>
        <w:t xml:space="preserve">. </w:t>
      </w:r>
      <w:r w:rsidRPr="00893253">
        <w:rPr>
          <w:rFonts w:cs="Times New Roman"/>
          <w:szCs w:val="24"/>
        </w:rPr>
        <w:t>El 61% de las microempresas pertenecía al sector comercio, el 28% a servicios, y el 11% a manufactura ligera.</w:t>
      </w:r>
      <w:r w:rsidR="00FE44F5" w:rsidRPr="00893253">
        <w:rPr>
          <w:rFonts w:cs="Times New Roman"/>
          <w:szCs w:val="24"/>
        </w:rPr>
        <w:t xml:space="preserve"> En cuanto al género, el</w:t>
      </w:r>
      <w:r w:rsidRPr="00893253">
        <w:rPr>
          <w:rFonts w:cs="Times New Roman"/>
          <w:szCs w:val="24"/>
        </w:rPr>
        <w:t xml:space="preserve"> 26% de los entrevistados eran mujeres, y el 74% hombres. </w:t>
      </w:r>
      <w:r w:rsidR="00FE44F5" w:rsidRPr="00893253">
        <w:rPr>
          <w:rFonts w:cs="Times New Roman"/>
          <w:szCs w:val="24"/>
        </w:rPr>
        <w:t xml:space="preserve">El nivel educativo del administrador, </w:t>
      </w:r>
      <w:r w:rsidRPr="00893253">
        <w:rPr>
          <w:rFonts w:cs="Times New Roman"/>
          <w:szCs w:val="24"/>
        </w:rPr>
        <w:t>el 39% tenía educación secundaria completa, el 34% había cursado estudios técnicos o tecnológicos, y el 27% contaba con educación superior. La antigüedad promedio de las microempresas era de 4.2 años, y el 58% operaba en condiciones de informalidad legal.</w:t>
      </w:r>
      <w:r w:rsidR="00FE44F5" w:rsidRPr="00893253">
        <w:rPr>
          <w:rFonts w:cs="Times New Roman"/>
          <w:szCs w:val="24"/>
        </w:rPr>
        <w:t xml:space="preserve">  El uso de redes sociales fue alto (67%), aunque la digitalización avanzada fue limitada. </w:t>
      </w:r>
      <w:r w:rsidRPr="00893253">
        <w:rPr>
          <w:rFonts w:cs="Times New Roman"/>
          <w:szCs w:val="24"/>
        </w:rPr>
        <w:t>El 88% expresó haber recibido algún tipo de capacitación durante la pandemia, principalmente en temas de bioseguridad, ventas en línea o contabilidad básica.</w:t>
      </w:r>
    </w:p>
    <w:p w14:paraId="2BD9AFFF" w14:textId="77777777" w:rsidR="000D1D85" w:rsidRPr="00893253" w:rsidRDefault="000D1D85" w:rsidP="000D1D85">
      <w:pPr>
        <w:spacing w:after="0" w:line="360" w:lineRule="auto"/>
        <w:jc w:val="both"/>
        <w:rPr>
          <w:rFonts w:cs="Times New Roman"/>
          <w:szCs w:val="24"/>
        </w:rPr>
      </w:pPr>
    </w:p>
    <w:p w14:paraId="3F3E0806" w14:textId="1CC0FB63" w:rsidR="006F0E00" w:rsidRPr="00893253" w:rsidRDefault="00FE44F5" w:rsidP="007307AA">
      <w:pPr>
        <w:spacing w:line="360" w:lineRule="auto"/>
        <w:jc w:val="both"/>
        <w:rPr>
          <w:rFonts w:cs="Times New Roman"/>
          <w:b/>
          <w:bCs/>
          <w:szCs w:val="24"/>
        </w:rPr>
      </w:pPr>
      <w:r w:rsidRPr="00893253">
        <w:rPr>
          <w:rFonts w:cs="Times New Roman"/>
          <w:b/>
          <w:bCs/>
          <w:szCs w:val="24"/>
        </w:rPr>
        <w:t xml:space="preserve">Modelo de medición </w:t>
      </w:r>
    </w:p>
    <w:p w14:paraId="075C49A9" w14:textId="55D13301" w:rsidR="00EE222A" w:rsidRPr="00893253" w:rsidRDefault="00EE222A" w:rsidP="000D1D85">
      <w:pPr>
        <w:spacing w:after="0" w:line="360" w:lineRule="auto"/>
        <w:jc w:val="both"/>
        <w:rPr>
          <w:rFonts w:cs="Times New Roman"/>
          <w:szCs w:val="24"/>
        </w:rPr>
      </w:pPr>
      <w:r w:rsidRPr="00893253">
        <w:rPr>
          <w:rFonts w:cs="Times New Roman"/>
          <w:szCs w:val="24"/>
        </w:rPr>
        <w:t>La estimación mediante PLS-SEM (</w:t>
      </w:r>
      <w:proofErr w:type="spellStart"/>
      <w:r w:rsidRPr="00893253">
        <w:rPr>
          <w:rFonts w:cs="Times New Roman"/>
          <w:szCs w:val="24"/>
        </w:rPr>
        <w:t>SmartPLS</w:t>
      </w:r>
      <w:proofErr w:type="spellEnd"/>
      <w:r w:rsidRPr="00893253">
        <w:rPr>
          <w:rFonts w:cs="Times New Roman"/>
          <w:szCs w:val="24"/>
        </w:rPr>
        <w:t xml:space="preserve"> 4.0) es pertinente en este estudio por su orientación predictiva y por la necesidad de modelar relaciones simultáneas entre recursos psicosociales (liderazgo saludable, pertenencia y empoderamiento), adopción digital y resultados organizacionales en microempresas. En contextos de frontera, la heterogeneidad y la informalidad introducen alta variabilidad; por ello, el énfasis no es solo la significancia estadística, sino la lectura de trayectorias como palancas de intervención. En el reporte final se </w:t>
      </w:r>
      <w:r w:rsidRPr="00893253">
        <w:rPr>
          <w:rFonts w:cs="Times New Roman"/>
          <w:i/>
          <w:iCs/>
          <w:szCs w:val="24"/>
        </w:rPr>
        <w:t>añade</w:t>
      </w:r>
      <w:r w:rsidRPr="00893253">
        <w:rPr>
          <w:rFonts w:cs="Times New Roman"/>
          <w:szCs w:val="24"/>
        </w:rPr>
        <w:t>: (i) tamaños de efecto f² por relación para distinguir predictores materiales vs marginales; (</w:t>
      </w:r>
      <w:proofErr w:type="spellStart"/>
      <w:r w:rsidRPr="00893253">
        <w:rPr>
          <w:rFonts w:cs="Times New Roman"/>
          <w:szCs w:val="24"/>
        </w:rPr>
        <w:t>ii</w:t>
      </w:r>
      <w:proofErr w:type="spellEnd"/>
      <w:r w:rsidRPr="00893253">
        <w:rPr>
          <w:rFonts w:cs="Times New Roman"/>
          <w:szCs w:val="24"/>
        </w:rPr>
        <w:t xml:space="preserve">) intervalos de confianza </w:t>
      </w:r>
      <w:proofErr w:type="spellStart"/>
      <w:r w:rsidRPr="00893253">
        <w:rPr>
          <w:rFonts w:cs="Times New Roman"/>
          <w:szCs w:val="24"/>
        </w:rPr>
        <w:t>bootstrap</w:t>
      </w:r>
      <w:proofErr w:type="spellEnd"/>
      <w:r w:rsidRPr="00893253">
        <w:rPr>
          <w:rFonts w:cs="Times New Roman"/>
          <w:szCs w:val="24"/>
        </w:rPr>
        <w:t xml:space="preserve"> al 95 %; (</w:t>
      </w:r>
      <w:proofErr w:type="spellStart"/>
      <w:r w:rsidRPr="00893253">
        <w:rPr>
          <w:rFonts w:cs="Times New Roman"/>
          <w:szCs w:val="24"/>
        </w:rPr>
        <w:t>iii</w:t>
      </w:r>
      <w:proofErr w:type="spellEnd"/>
      <w:r w:rsidRPr="00893253">
        <w:rPr>
          <w:rFonts w:cs="Times New Roman"/>
          <w:szCs w:val="24"/>
        </w:rPr>
        <w:t>) descomposición de efectos indirectos para establecer mediaciones (p. ej., compromiso gerencial → empoderamiento → satisfacción del cliente); y (</w:t>
      </w:r>
      <w:proofErr w:type="spellStart"/>
      <w:r w:rsidRPr="00893253">
        <w:rPr>
          <w:rFonts w:cs="Times New Roman"/>
          <w:szCs w:val="24"/>
        </w:rPr>
        <w:t>iv</w:t>
      </w:r>
      <w:proofErr w:type="spellEnd"/>
      <w:r w:rsidRPr="00893253">
        <w:rPr>
          <w:rFonts w:cs="Times New Roman"/>
          <w:szCs w:val="24"/>
        </w:rPr>
        <w:t>) análisis multigrupo (MGA) o modelos con moderación por condición migratoria/antigüedad laboral. Este estándar de reporte permite argumentar no solo que el modelo funciona, sino qué palancas generan mayor retorno organizacional en frontera.”</w:t>
      </w:r>
    </w:p>
    <w:p w14:paraId="1ABB71A3" w14:textId="77777777" w:rsidR="000D1D85" w:rsidRPr="00893253" w:rsidRDefault="000D1D85" w:rsidP="000D1D85">
      <w:pPr>
        <w:spacing w:after="0" w:line="360" w:lineRule="auto"/>
        <w:jc w:val="both"/>
        <w:rPr>
          <w:rFonts w:cs="Times New Roman"/>
          <w:i/>
          <w:iCs/>
          <w:szCs w:val="24"/>
        </w:rPr>
      </w:pPr>
    </w:p>
    <w:p w14:paraId="4B75D8A6" w14:textId="5A0CDF82" w:rsidR="00C33751" w:rsidRPr="00893253" w:rsidRDefault="00C33751" w:rsidP="007307AA">
      <w:pPr>
        <w:spacing w:line="360" w:lineRule="auto"/>
        <w:jc w:val="both"/>
        <w:rPr>
          <w:rFonts w:cs="Times New Roman"/>
          <w:b/>
          <w:bCs/>
          <w:szCs w:val="24"/>
        </w:rPr>
      </w:pPr>
      <w:r w:rsidRPr="00893253">
        <w:rPr>
          <w:rFonts w:cs="Times New Roman"/>
          <w:b/>
          <w:bCs/>
          <w:szCs w:val="24"/>
        </w:rPr>
        <w:t>Confiabilidad individual de los indicadores</w:t>
      </w:r>
    </w:p>
    <w:p w14:paraId="03052BAB" w14:textId="4D62C1DD" w:rsidR="00C33751" w:rsidRPr="00893253" w:rsidRDefault="00C33751" w:rsidP="000D1D85">
      <w:pPr>
        <w:spacing w:after="0" w:line="360" w:lineRule="auto"/>
        <w:jc w:val="both"/>
        <w:rPr>
          <w:rFonts w:cs="Times New Roman"/>
          <w:szCs w:val="24"/>
        </w:rPr>
      </w:pPr>
      <w:r w:rsidRPr="00893253">
        <w:rPr>
          <w:rFonts w:cs="Times New Roman"/>
          <w:szCs w:val="24"/>
        </w:rPr>
        <w:lastRenderedPageBreak/>
        <w:t>La confiabilidad individual de los ítems se evaluó mediante el análisis de las cargas factoriales externas, siguiendo el criterio recomendado para modelos PLS-SEM. Los resultados muestran que todos los indicadores presentaron cargas superiores a 0.708, superando el umbral sugerido por Hair et al. (202</w:t>
      </w:r>
      <w:r w:rsidR="002364FC" w:rsidRPr="00893253">
        <w:rPr>
          <w:rFonts w:cs="Times New Roman"/>
          <w:szCs w:val="24"/>
        </w:rPr>
        <w:t>2</w:t>
      </w:r>
      <w:r w:rsidRPr="00893253">
        <w:rPr>
          <w:rFonts w:cs="Times New Roman"/>
          <w:szCs w:val="24"/>
        </w:rPr>
        <w:t>), lo que evidencia una adecuada consistencia entre los ítems y sus respectivos constructos.</w:t>
      </w:r>
    </w:p>
    <w:p w14:paraId="7868E256" w14:textId="77777777" w:rsidR="00C33751" w:rsidRPr="00893253" w:rsidRDefault="00C33751" w:rsidP="000D1D85">
      <w:pPr>
        <w:spacing w:after="0" w:line="360" w:lineRule="auto"/>
        <w:jc w:val="both"/>
        <w:rPr>
          <w:rFonts w:cs="Times New Roman"/>
          <w:szCs w:val="24"/>
        </w:rPr>
      </w:pPr>
    </w:p>
    <w:p w14:paraId="6ABFE551" w14:textId="77777777" w:rsidR="00C33751" w:rsidRPr="00893253" w:rsidRDefault="00C33751" w:rsidP="000D1D85">
      <w:pPr>
        <w:spacing w:after="0" w:line="360" w:lineRule="auto"/>
        <w:jc w:val="both"/>
        <w:rPr>
          <w:rFonts w:cs="Times New Roman"/>
          <w:szCs w:val="24"/>
        </w:rPr>
      </w:pPr>
      <w:r w:rsidRPr="00893253">
        <w:rPr>
          <w:rFonts w:cs="Times New Roman"/>
          <w:szCs w:val="24"/>
        </w:rPr>
        <w:t>En términos interpretativos, los indicadores con cargas comprendidas entre 0.708 y 0.85 pueden considerarse empíricamente sólidos, dado que explican una proporción sustancial de la varianza del constructo latente. En este estudio, los ítems asociados al empoderamiento del personal (SP1) y a la satisfacción del cliente (RO2) mostraron las cargas más elevadas del modelo, con valores que oscilaron entre 0.81 y 0.91, lo que refleja una fuerte relación entre los indicadores observados y las variables latentes que representan.</w:t>
      </w:r>
    </w:p>
    <w:p w14:paraId="5ECD50BB" w14:textId="77777777" w:rsidR="00C33751" w:rsidRPr="00893253" w:rsidRDefault="00C33751" w:rsidP="000D1D85">
      <w:pPr>
        <w:spacing w:after="0" w:line="360" w:lineRule="auto"/>
        <w:jc w:val="both"/>
        <w:rPr>
          <w:rFonts w:cs="Times New Roman"/>
          <w:szCs w:val="24"/>
        </w:rPr>
      </w:pPr>
    </w:p>
    <w:p w14:paraId="3B5FC1BB" w14:textId="76B11769" w:rsidR="00C33751" w:rsidRPr="00893253" w:rsidRDefault="00C33751" w:rsidP="000D1D85">
      <w:pPr>
        <w:spacing w:after="0" w:line="360" w:lineRule="auto"/>
        <w:jc w:val="both"/>
        <w:rPr>
          <w:rFonts w:cs="Times New Roman"/>
          <w:szCs w:val="24"/>
        </w:rPr>
      </w:pPr>
      <w:r w:rsidRPr="00893253">
        <w:rPr>
          <w:rFonts w:cs="Times New Roman"/>
          <w:szCs w:val="24"/>
        </w:rPr>
        <w:t xml:space="preserve">En conjunto, la evidencia obtenida confirma la adecuada confiabilidad individual de los indicadores y respalda la calidad del modelo de medición, permitiendo avanzar con </w:t>
      </w:r>
      <w:r w:rsidR="004C2255" w:rsidRPr="00893253">
        <w:rPr>
          <w:rFonts w:cs="Times New Roman"/>
          <w:szCs w:val="24"/>
        </w:rPr>
        <w:t>garantías</w:t>
      </w:r>
      <w:r w:rsidRPr="00893253">
        <w:rPr>
          <w:rFonts w:cs="Times New Roman"/>
          <w:szCs w:val="24"/>
        </w:rPr>
        <w:t xml:space="preserve"> al análisis de validez convergente y discriminante del modelo estructural.</w:t>
      </w:r>
    </w:p>
    <w:p w14:paraId="77F2FB97" w14:textId="77777777" w:rsidR="00524EA0" w:rsidRDefault="00524EA0" w:rsidP="000D1D85">
      <w:pPr>
        <w:spacing w:after="0" w:line="360" w:lineRule="auto"/>
        <w:jc w:val="both"/>
        <w:rPr>
          <w:rFonts w:cs="Times New Roman"/>
          <w:b/>
          <w:bCs/>
          <w:szCs w:val="24"/>
        </w:rPr>
      </w:pPr>
    </w:p>
    <w:p w14:paraId="69E0A976" w14:textId="06B56511" w:rsidR="00C33751" w:rsidRPr="00893253" w:rsidRDefault="00FE44F5" w:rsidP="007307AA">
      <w:pPr>
        <w:spacing w:line="360" w:lineRule="auto"/>
        <w:jc w:val="both"/>
        <w:rPr>
          <w:rFonts w:cs="Times New Roman"/>
          <w:b/>
          <w:bCs/>
          <w:szCs w:val="24"/>
        </w:rPr>
      </w:pPr>
      <w:r w:rsidRPr="00893253">
        <w:rPr>
          <w:rFonts w:cs="Times New Roman"/>
          <w:b/>
          <w:bCs/>
          <w:szCs w:val="24"/>
        </w:rPr>
        <w:t xml:space="preserve">Modelo estructural </w:t>
      </w:r>
    </w:p>
    <w:p w14:paraId="2CB9D19E" w14:textId="681777AC" w:rsidR="00AA60C0" w:rsidRPr="00893253" w:rsidRDefault="00AA60C0" w:rsidP="000D1D85">
      <w:pPr>
        <w:spacing w:after="0" w:line="360" w:lineRule="auto"/>
        <w:jc w:val="both"/>
        <w:rPr>
          <w:rFonts w:cs="Times New Roman"/>
          <w:szCs w:val="24"/>
        </w:rPr>
      </w:pPr>
      <w:r w:rsidRPr="00893253">
        <w:rPr>
          <w:rFonts w:cs="Times New Roman"/>
          <w:szCs w:val="24"/>
        </w:rPr>
        <w:t xml:space="preserve">En la figura 1 se presenta el modelo con las relaciones causales propuestas en las hipótesis planteadas de los constructos de un modelo HERO propuesto y de igual forma las relaciones entre indicadores de cada constructo. Los constructos del modelo HERO -Empleados saludables, recursos y prácticas organizacionales saludables y resultados organizacionales saludables- son las variables latentes (VL) y los indicadores reflectivos (Sarstedt et </w:t>
      </w:r>
      <w:proofErr w:type="spellStart"/>
      <w:r w:rsidRPr="00893253">
        <w:rPr>
          <w:rFonts w:cs="Times New Roman"/>
          <w:szCs w:val="24"/>
        </w:rPr>
        <w:t>all</w:t>
      </w:r>
      <w:proofErr w:type="spellEnd"/>
      <w:r w:rsidRPr="00893253">
        <w:rPr>
          <w:rFonts w:cs="Times New Roman"/>
          <w:szCs w:val="24"/>
        </w:rPr>
        <w:t xml:space="preserve">, 2017). Todos los análisis de los datos se realizan en el </w:t>
      </w:r>
      <w:proofErr w:type="spellStart"/>
      <w:r w:rsidRPr="00893253">
        <w:rPr>
          <w:rFonts w:cs="Times New Roman"/>
          <w:szCs w:val="24"/>
        </w:rPr>
        <w:t>SmarPls</w:t>
      </w:r>
      <w:proofErr w:type="spellEnd"/>
      <w:r w:rsidRPr="00893253">
        <w:rPr>
          <w:rFonts w:cs="Times New Roman"/>
          <w:szCs w:val="24"/>
        </w:rPr>
        <w:t xml:space="preserve"> 4.0, que un software especializado en ecuaciones estructurales.</w:t>
      </w:r>
    </w:p>
    <w:p w14:paraId="2C91C80A" w14:textId="77777777" w:rsidR="00AA60C0" w:rsidRDefault="00AA60C0" w:rsidP="00AA60C0">
      <w:pPr>
        <w:spacing w:after="0" w:line="360" w:lineRule="auto"/>
        <w:jc w:val="both"/>
        <w:rPr>
          <w:rFonts w:cs="Times New Roman"/>
          <w:szCs w:val="24"/>
        </w:rPr>
      </w:pPr>
    </w:p>
    <w:p w14:paraId="0EAE20CF" w14:textId="77777777" w:rsidR="009A2F52" w:rsidRDefault="009A2F52" w:rsidP="00AA60C0">
      <w:pPr>
        <w:spacing w:after="0" w:line="360" w:lineRule="auto"/>
        <w:jc w:val="both"/>
        <w:rPr>
          <w:rFonts w:cs="Times New Roman"/>
          <w:szCs w:val="24"/>
        </w:rPr>
      </w:pPr>
    </w:p>
    <w:p w14:paraId="6E72D6B4" w14:textId="77777777" w:rsidR="009A2F52" w:rsidRDefault="009A2F52" w:rsidP="00AA60C0">
      <w:pPr>
        <w:spacing w:after="0" w:line="360" w:lineRule="auto"/>
        <w:jc w:val="both"/>
        <w:rPr>
          <w:rFonts w:cs="Times New Roman"/>
          <w:szCs w:val="24"/>
        </w:rPr>
      </w:pPr>
    </w:p>
    <w:p w14:paraId="0F4330F0" w14:textId="77777777" w:rsidR="009A2F52" w:rsidRPr="00893253" w:rsidRDefault="009A2F52" w:rsidP="00AA60C0">
      <w:pPr>
        <w:spacing w:after="0" w:line="360" w:lineRule="auto"/>
        <w:jc w:val="both"/>
        <w:rPr>
          <w:rFonts w:cs="Times New Roman"/>
          <w:szCs w:val="24"/>
        </w:rPr>
      </w:pPr>
    </w:p>
    <w:p w14:paraId="6C06BEC7" w14:textId="6E040DC9" w:rsidR="00AA60C0" w:rsidRPr="00893253" w:rsidRDefault="00AA60C0" w:rsidP="00AA60C0">
      <w:pPr>
        <w:spacing w:after="0" w:line="360" w:lineRule="auto"/>
        <w:jc w:val="both"/>
        <w:rPr>
          <w:rFonts w:eastAsia="Calibri" w:cs="Times New Roman"/>
          <w:bCs/>
          <w:szCs w:val="24"/>
          <w:lang w:val="es-CO"/>
        </w:rPr>
      </w:pPr>
      <w:r w:rsidRPr="00893253">
        <w:rPr>
          <w:rFonts w:eastAsia="Calibri" w:cs="Times New Roman"/>
          <w:b/>
          <w:szCs w:val="24"/>
          <w:lang w:val="es-CO"/>
        </w:rPr>
        <w:lastRenderedPageBreak/>
        <w:t>Figura 1.</w:t>
      </w:r>
      <w:r w:rsidRPr="00893253">
        <w:rPr>
          <w:rFonts w:eastAsia="Calibri" w:cs="Times New Roman"/>
          <w:bCs/>
          <w:szCs w:val="24"/>
          <w:lang w:val="es-CO"/>
        </w:rPr>
        <w:t xml:space="preserve"> Modelo estructural en MiPymes del sector comercialización de bebidas al por menor, basado en el modelo HERO (</w:t>
      </w:r>
      <w:proofErr w:type="spellStart"/>
      <w:r w:rsidRPr="00893253">
        <w:rPr>
          <w:rFonts w:eastAsia="Calibri" w:cs="Times New Roman"/>
          <w:bCs/>
          <w:szCs w:val="24"/>
          <w:lang w:val="es-CO"/>
        </w:rPr>
        <w:t>Healthy</w:t>
      </w:r>
      <w:proofErr w:type="spellEnd"/>
      <w:r w:rsidRPr="00893253">
        <w:rPr>
          <w:rFonts w:eastAsia="Calibri" w:cs="Times New Roman"/>
          <w:bCs/>
          <w:szCs w:val="24"/>
          <w:lang w:val="es-CO"/>
        </w:rPr>
        <w:t xml:space="preserve"> &amp; </w:t>
      </w:r>
      <w:proofErr w:type="spellStart"/>
      <w:r w:rsidRPr="00893253">
        <w:rPr>
          <w:rFonts w:eastAsia="Calibri" w:cs="Times New Roman"/>
          <w:bCs/>
          <w:szCs w:val="24"/>
          <w:lang w:val="es-CO"/>
        </w:rPr>
        <w:t>Resilient</w:t>
      </w:r>
      <w:proofErr w:type="spellEnd"/>
      <w:r w:rsidRPr="00893253">
        <w:rPr>
          <w:rFonts w:eastAsia="Calibri" w:cs="Times New Roman"/>
          <w:bCs/>
          <w:szCs w:val="24"/>
          <w:lang w:val="es-CO"/>
        </w:rPr>
        <w:t xml:space="preserve"> </w:t>
      </w:r>
      <w:proofErr w:type="spellStart"/>
      <w:r w:rsidRPr="00893253">
        <w:rPr>
          <w:rFonts w:eastAsia="Calibri" w:cs="Times New Roman"/>
          <w:bCs/>
          <w:szCs w:val="24"/>
          <w:lang w:val="es-CO"/>
        </w:rPr>
        <w:t>Organization</w:t>
      </w:r>
      <w:proofErr w:type="spellEnd"/>
      <w:r w:rsidRPr="00893253">
        <w:rPr>
          <w:rFonts w:eastAsia="Calibri" w:cs="Times New Roman"/>
          <w:bCs/>
          <w:szCs w:val="24"/>
          <w:lang w:val="es-CO"/>
        </w:rPr>
        <w:t xml:space="preserve">) </w:t>
      </w:r>
    </w:p>
    <w:p w14:paraId="59D1D4BF" w14:textId="77777777" w:rsidR="00AA60C0" w:rsidRPr="00893253" w:rsidRDefault="00AA60C0" w:rsidP="00AA60C0">
      <w:pPr>
        <w:spacing w:after="0" w:line="360" w:lineRule="auto"/>
        <w:ind w:firstLine="709"/>
        <w:jc w:val="center"/>
        <w:rPr>
          <w:rFonts w:eastAsia="Calibri" w:cs="Times New Roman"/>
          <w:bCs/>
          <w:szCs w:val="24"/>
          <w:lang w:val="es-CO"/>
        </w:rPr>
      </w:pPr>
    </w:p>
    <w:p w14:paraId="61DB9859" w14:textId="77777777" w:rsidR="00AA60C0" w:rsidRPr="00893253" w:rsidRDefault="00AA60C0" w:rsidP="00AA60C0">
      <w:pPr>
        <w:spacing w:after="0" w:line="360" w:lineRule="auto"/>
        <w:ind w:firstLine="709"/>
        <w:jc w:val="center"/>
        <w:rPr>
          <w:rFonts w:eastAsia="Calibri" w:cs="Times New Roman"/>
          <w:bCs/>
          <w:szCs w:val="24"/>
          <w:lang w:val="es-CO"/>
        </w:rPr>
      </w:pPr>
    </w:p>
    <w:p w14:paraId="40707CED" w14:textId="77777777" w:rsidR="00AA60C0" w:rsidRPr="00893253" w:rsidRDefault="00AA60C0" w:rsidP="00AA60C0">
      <w:pPr>
        <w:spacing w:after="0" w:line="360" w:lineRule="auto"/>
        <w:ind w:firstLine="709"/>
        <w:jc w:val="center"/>
        <w:rPr>
          <w:rFonts w:eastAsia="Calibri" w:cs="Times New Roman"/>
          <w:bCs/>
          <w:szCs w:val="24"/>
          <w:lang w:val="es-CO"/>
        </w:rPr>
      </w:pPr>
      <w:r w:rsidRPr="00893253">
        <w:rPr>
          <w:rFonts w:eastAsia="Calibri" w:cs="Times New Roman"/>
          <w:bCs/>
          <w:noProof/>
          <w:szCs w:val="24"/>
          <w:lang w:val="es-CO"/>
        </w:rPr>
        <w:drawing>
          <wp:inline distT="0" distB="0" distL="0" distR="0" wp14:anchorId="52036722" wp14:editId="67986CA0">
            <wp:extent cx="4620232" cy="204089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a:extLst>
                        <a:ext uri="{28A0092B-C50C-407E-A947-70E740481C1C}">
                          <a14:useLocalDpi xmlns:a14="http://schemas.microsoft.com/office/drawing/2010/main" val="0"/>
                        </a:ext>
                      </a:extLst>
                    </a:blip>
                    <a:stretch>
                      <a:fillRect/>
                    </a:stretch>
                  </pic:blipFill>
                  <pic:spPr>
                    <a:xfrm>
                      <a:off x="0" y="0"/>
                      <a:ext cx="4633890" cy="2046923"/>
                    </a:xfrm>
                    <a:prstGeom prst="rect">
                      <a:avLst/>
                    </a:prstGeom>
                  </pic:spPr>
                </pic:pic>
              </a:graphicData>
            </a:graphic>
          </wp:inline>
        </w:drawing>
      </w:r>
    </w:p>
    <w:p w14:paraId="29C4E14B" w14:textId="36756DD5" w:rsidR="00AA60C0" w:rsidRPr="00893253" w:rsidRDefault="00AA60C0" w:rsidP="00AA60C0">
      <w:pPr>
        <w:spacing w:after="0" w:line="360" w:lineRule="auto"/>
        <w:jc w:val="both"/>
        <w:rPr>
          <w:rFonts w:cs="Times New Roman"/>
          <w:b/>
          <w:bCs/>
          <w:szCs w:val="24"/>
        </w:rPr>
      </w:pPr>
      <w:r w:rsidRPr="00893253">
        <w:rPr>
          <w:rFonts w:eastAsia="Calibri" w:cs="Times New Roman"/>
          <w:bCs/>
          <w:szCs w:val="24"/>
          <w:lang w:val="es-CO"/>
        </w:rPr>
        <w:t xml:space="preserve">Fuente: elaboración propia obtenido del software </w:t>
      </w:r>
      <w:proofErr w:type="spellStart"/>
      <w:r w:rsidRPr="00893253">
        <w:rPr>
          <w:rFonts w:eastAsia="Calibri" w:cs="Times New Roman"/>
          <w:bCs/>
          <w:szCs w:val="24"/>
          <w:lang w:val="es-CO"/>
        </w:rPr>
        <w:t>SmartPLS</w:t>
      </w:r>
      <w:proofErr w:type="spellEnd"/>
      <w:r w:rsidRPr="00893253">
        <w:rPr>
          <w:rFonts w:eastAsia="Calibri" w:cs="Times New Roman"/>
          <w:bCs/>
          <w:szCs w:val="24"/>
          <w:lang w:val="es-CO"/>
        </w:rPr>
        <w:t xml:space="preserve"> 4</w:t>
      </w:r>
    </w:p>
    <w:p w14:paraId="6519EE1D" w14:textId="77777777" w:rsidR="00AA60C0" w:rsidRPr="00893253" w:rsidRDefault="00AA60C0" w:rsidP="000D1D85">
      <w:pPr>
        <w:spacing w:after="0" w:line="360" w:lineRule="auto"/>
        <w:jc w:val="both"/>
        <w:rPr>
          <w:rFonts w:cs="Times New Roman"/>
          <w:b/>
          <w:bCs/>
          <w:szCs w:val="24"/>
        </w:rPr>
      </w:pPr>
    </w:p>
    <w:p w14:paraId="64A410D7" w14:textId="6FB3F063" w:rsidR="00BE41DD" w:rsidRPr="007307AA" w:rsidRDefault="00C33751" w:rsidP="007307AA">
      <w:pPr>
        <w:spacing w:line="360" w:lineRule="auto"/>
        <w:jc w:val="both"/>
        <w:rPr>
          <w:rFonts w:cs="Times New Roman"/>
          <w:b/>
          <w:bCs/>
          <w:i/>
          <w:iCs/>
          <w:szCs w:val="24"/>
        </w:rPr>
      </w:pPr>
      <w:r w:rsidRPr="007307AA">
        <w:rPr>
          <w:rFonts w:cs="Times New Roman"/>
          <w:b/>
          <w:bCs/>
          <w:i/>
          <w:iCs/>
          <w:szCs w:val="24"/>
        </w:rPr>
        <w:t>a</w:t>
      </w:r>
      <w:r w:rsidR="00BE41DD" w:rsidRPr="007307AA">
        <w:rPr>
          <w:rFonts w:cs="Times New Roman"/>
          <w:b/>
          <w:bCs/>
          <w:i/>
          <w:iCs/>
          <w:szCs w:val="24"/>
        </w:rPr>
        <w:t xml:space="preserve">. </w:t>
      </w:r>
      <w:r w:rsidR="00FF4BE7" w:rsidRPr="007307AA">
        <w:rPr>
          <w:rFonts w:cs="Times New Roman"/>
          <w:b/>
          <w:bCs/>
          <w:i/>
          <w:iCs/>
          <w:szCs w:val="24"/>
        </w:rPr>
        <w:t xml:space="preserve">Evaluación de la confiabilidad del modelo </w:t>
      </w:r>
    </w:p>
    <w:p w14:paraId="0AD2AFE9" w14:textId="77777777" w:rsidR="00FF4BE7" w:rsidRDefault="00FF4BE7" w:rsidP="000D1D85">
      <w:pPr>
        <w:spacing w:after="0" w:line="360" w:lineRule="auto"/>
        <w:jc w:val="both"/>
        <w:rPr>
          <w:rFonts w:cs="Times New Roman"/>
          <w:szCs w:val="24"/>
        </w:rPr>
      </w:pPr>
      <w:r w:rsidRPr="00893253">
        <w:rPr>
          <w:rFonts w:cs="Times New Roman"/>
          <w:szCs w:val="24"/>
        </w:rPr>
        <w:t>La consistencia interna de los constructos fue evaluada mediante el coeficiente alfa de Cronbach y la confiabilidad compuesta (CR), siguiendo las recomendaciones metodológicas para modelos de ecuaciones estructurales basados en mínimos cuadrados parciales (PLS-SEM). Los resultados evidencian que todos los constructos superan holgadamente el umbral mínimo de 0.70, lo que confirma la adecuada fiabilidad de las escalas empleadas.</w:t>
      </w:r>
    </w:p>
    <w:p w14:paraId="430CB96A" w14:textId="77777777" w:rsidR="007307AA" w:rsidRPr="00893253" w:rsidRDefault="007307AA" w:rsidP="000D1D85">
      <w:pPr>
        <w:spacing w:after="0" w:line="360" w:lineRule="auto"/>
        <w:jc w:val="both"/>
        <w:rPr>
          <w:rFonts w:cs="Times New Roman"/>
          <w:szCs w:val="24"/>
        </w:rPr>
      </w:pPr>
    </w:p>
    <w:p w14:paraId="2611BF39" w14:textId="77777777" w:rsidR="00FF4BE7" w:rsidRDefault="00FF4BE7" w:rsidP="000D1D85">
      <w:pPr>
        <w:spacing w:after="0" w:line="360" w:lineRule="auto"/>
        <w:jc w:val="both"/>
        <w:rPr>
          <w:rFonts w:cs="Times New Roman"/>
          <w:szCs w:val="24"/>
        </w:rPr>
      </w:pPr>
      <w:r w:rsidRPr="00893253">
        <w:rPr>
          <w:rFonts w:cs="Times New Roman"/>
          <w:szCs w:val="24"/>
        </w:rPr>
        <w:t>En la dimensión de empleados saludables, el constructo empoderamiento del personal (SP1) alcanzó valores robustos (α = 0.854; CR = 0.892), lo que indica una alta coherencia interna entre sus indicadores. De forma consistente, el compromiso gerencial (SP2) (α = 0.831; CR = 0.876) y el sentido de pertenencia (SP3) (α = 0.809; CR = 0.871) presentaron niveles satisfactorios de confiabilidad, respaldando la estabilidad de la medición de las prácticas organizacionales saludables.</w:t>
      </w:r>
    </w:p>
    <w:p w14:paraId="47F0C16B" w14:textId="77777777" w:rsidR="007307AA" w:rsidRPr="00893253" w:rsidRDefault="007307AA" w:rsidP="000D1D85">
      <w:pPr>
        <w:spacing w:after="0" w:line="360" w:lineRule="auto"/>
        <w:jc w:val="both"/>
        <w:rPr>
          <w:rFonts w:cs="Times New Roman"/>
          <w:szCs w:val="24"/>
        </w:rPr>
      </w:pPr>
    </w:p>
    <w:p w14:paraId="1BB44E6D" w14:textId="77777777" w:rsidR="00FF4BE7" w:rsidRPr="00893253" w:rsidRDefault="00FF4BE7" w:rsidP="000D1D85">
      <w:pPr>
        <w:spacing w:after="0" w:line="360" w:lineRule="auto"/>
        <w:jc w:val="both"/>
        <w:rPr>
          <w:rFonts w:cs="Times New Roman"/>
          <w:szCs w:val="24"/>
        </w:rPr>
      </w:pPr>
      <w:r w:rsidRPr="00893253">
        <w:rPr>
          <w:rFonts w:cs="Times New Roman"/>
          <w:szCs w:val="24"/>
        </w:rPr>
        <w:t xml:space="preserve">En cuanto a los recursos organizacionales, los constructos uso de redes sociales (RO1) y nuevas herramientas digitales (RO3) mostraron valores de confiabilidad compuesta </w:t>
      </w:r>
      <w:r w:rsidRPr="00893253">
        <w:rPr>
          <w:rFonts w:cs="Times New Roman"/>
          <w:szCs w:val="24"/>
        </w:rPr>
        <w:lastRenderedPageBreak/>
        <w:t>superiores a 0.85, lo que sugiere una medición consistente de la dimensión de digitalización en las microempresas analizadas. Particularmente, la satisfacción del cliente (RO2) registró uno de los niveles más elevados de fiabilidad (α = 0.874; CR = 0.913), lo que refuerza la precisión del indicador de resultado organizacional.</w:t>
      </w:r>
    </w:p>
    <w:p w14:paraId="541C0D72" w14:textId="77777777" w:rsidR="00FF4BE7" w:rsidRDefault="00FF4BE7" w:rsidP="000D1D85">
      <w:pPr>
        <w:spacing w:after="0" w:line="360" w:lineRule="auto"/>
        <w:jc w:val="both"/>
        <w:rPr>
          <w:rFonts w:cs="Times New Roman"/>
          <w:szCs w:val="24"/>
        </w:rPr>
      </w:pPr>
      <w:r w:rsidRPr="00893253">
        <w:rPr>
          <w:rFonts w:cs="Times New Roman"/>
          <w:szCs w:val="24"/>
        </w:rPr>
        <w:t>Por su parte, el constructo apoyo gerencial digital durante la pandemia (POS1) evidenció parámetros robustos (α = 0.848; CR = 0.896), lo que confirma la solidez del instrumento para capturar dinámicas de apoyo tecnológico en contextos de alta incertidumbre.</w:t>
      </w:r>
    </w:p>
    <w:p w14:paraId="797166DF" w14:textId="77777777" w:rsidR="007307AA" w:rsidRPr="00893253" w:rsidRDefault="007307AA" w:rsidP="000D1D85">
      <w:pPr>
        <w:spacing w:after="0" w:line="360" w:lineRule="auto"/>
        <w:jc w:val="both"/>
        <w:rPr>
          <w:rFonts w:cs="Times New Roman"/>
          <w:szCs w:val="24"/>
        </w:rPr>
      </w:pPr>
    </w:p>
    <w:p w14:paraId="620DCF09" w14:textId="77777777" w:rsidR="00FF4BE7" w:rsidRPr="00893253" w:rsidRDefault="00FF4BE7" w:rsidP="000D1D85">
      <w:pPr>
        <w:spacing w:after="0" w:line="360" w:lineRule="auto"/>
        <w:jc w:val="both"/>
        <w:rPr>
          <w:rFonts w:cs="Times New Roman"/>
          <w:szCs w:val="24"/>
        </w:rPr>
      </w:pPr>
      <w:r w:rsidRPr="00893253">
        <w:rPr>
          <w:rFonts w:cs="Times New Roman"/>
          <w:szCs w:val="24"/>
        </w:rPr>
        <w:t>En conjunto, los resultados permiten afirmar que el modelo de medición presenta adecuados niveles de consistencia interna y cumple con los criterios de fiabilidad recomendados en la literatura especializada en PLS-SEM, lo que respalda la idoneidad del instrumento para el análisis estructural posterior.</w:t>
      </w:r>
    </w:p>
    <w:p w14:paraId="5E6E26F0" w14:textId="77777777" w:rsidR="00E21FDC" w:rsidRPr="00893253" w:rsidRDefault="00E21FDC" w:rsidP="000D1D85">
      <w:pPr>
        <w:spacing w:after="0" w:line="360" w:lineRule="auto"/>
        <w:jc w:val="both"/>
        <w:rPr>
          <w:rFonts w:cs="Times New Roman"/>
          <w:szCs w:val="24"/>
        </w:rPr>
      </w:pPr>
    </w:p>
    <w:p w14:paraId="4997AF1C" w14:textId="43AF81B5" w:rsidR="00BE41DD" w:rsidRPr="007307AA" w:rsidRDefault="00C33751" w:rsidP="007307AA">
      <w:pPr>
        <w:spacing w:line="360" w:lineRule="auto"/>
        <w:jc w:val="both"/>
        <w:rPr>
          <w:rFonts w:cs="Times New Roman"/>
          <w:b/>
          <w:bCs/>
          <w:i/>
          <w:iCs/>
          <w:szCs w:val="24"/>
        </w:rPr>
      </w:pPr>
      <w:r w:rsidRPr="007307AA">
        <w:rPr>
          <w:rFonts w:cs="Times New Roman"/>
          <w:b/>
          <w:bCs/>
          <w:i/>
          <w:iCs/>
          <w:szCs w:val="24"/>
        </w:rPr>
        <w:t>b</w:t>
      </w:r>
      <w:r w:rsidR="00BE41DD" w:rsidRPr="007307AA">
        <w:rPr>
          <w:rFonts w:cs="Times New Roman"/>
          <w:b/>
          <w:bCs/>
          <w:i/>
          <w:iCs/>
          <w:szCs w:val="24"/>
        </w:rPr>
        <w:t>. Validez Convergente</w:t>
      </w:r>
      <w:r w:rsidR="00E21FDC" w:rsidRPr="007307AA">
        <w:rPr>
          <w:rFonts w:cs="Times New Roman"/>
          <w:b/>
          <w:bCs/>
          <w:i/>
          <w:iCs/>
          <w:szCs w:val="24"/>
        </w:rPr>
        <w:t xml:space="preserve"> del modelo </w:t>
      </w:r>
    </w:p>
    <w:p w14:paraId="7638FEDD" w14:textId="77777777" w:rsidR="00E21FDC" w:rsidRPr="00893253" w:rsidRDefault="00E21FDC" w:rsidP="000D1D85">
      <w:pPr>
        <w:spacing w:after="0" w:line="360" w:lineRule="auto"/>
        <w:jc w:val="both"/>
        <w:rPr>
          <w:rFonts w:cs="Times New Roman"/>
          <w:szCs w:val="24"/>
        </w:rPr>
      </w:pPr>
      <w:r w:rsidRPr="00893253">
        <w:rPr>
          <w:rFonts w:cs="Times New Roman"/>
          <w:szCs w:val="24"/>
        </w:rPr>
        <w:t>La validez convergente se evaluó mediante el análisis de la varianza media extraída (AVE), siguiendo el criterio de que los constructos deben presentar valores iguales o superiores a 0.50 para confirmar que explican más del 50% de la varianza de sus indicadores.</w:t>
      </w:r>
    </w:p>
    <w:p w14:paraId="03965F3F" w14:textId="77777777" w:rsidR="00E21FDC" w:rsidRPr="00893253" w:rsidRDefault="00E21FDC" w:rsidP="000D1D85">
      <w:pPr>
        <w:spacing w:after="0" w:line="360" w:lineRule="auto"/>
        <w:jc w:val="both"/>
        <w:rPr>
          <w:rFonts w:cs="Times New Roman"/>
          <w:szCs w:val="24"/>
        </w:rPr>
      </w:pPr>
    </w:p>
    <w:p w14:paraId="3AD0AA36" w14:textId="28F9923C" w:rsidR="00E21FDC" w:rsidRPr="00893253" w:rsidRDefault="00E21FDC" w:rsidP="000D1D85">
      <w:pPr>
        <w:spacing w:after="0" w:line="360" w:lineRule="auto"/>
        <w:jc w:val="both"/>
        <w:rPr>
          <w:rFonts w:cs="Times New Roman"/>
          <w:szCs w:val="24"/>
        </w:rPr>
      </w:pPr>
      <w:r w:rsidRPr="00893253">
        <w:rPr>
          <w:rFonts w:cs="Times New Roman"/>
          <w:szCs w:val="24"/>
        </w:rPr>
        <w:t>todos los constructos superaron el umbral recomendado, lo que evidencia una adecuada validez convergente del modelo de medición. En la dimensión de empleados saludables, empoderamiento del personal (SP1) alcanzó un AVE de 0.62, mientras que compromiso gerencial (SP2) y sentido de pertenencia (SP3) registraron valores de 0.64 y 0.61, respectivamente, indicando una representación satisfactoria de sus indicadores.</w:t>
      </w:r>
    </w:p>
    <w:p w14:paraId="721EA78A" w14:textId="77777777" w:rsidR="00E21FDC" w:rsidRPr="00893253" w:rsidRDefault="00E21FDC" w:rsidP="000D1D85">
      <w:pPr>
        <w:spacing w:after="0" w:line="360" w:lineRule="auto"/>
        <w:jc w:val="both"/>
        <w:rPr>
          <w:rFonts w:cs="Times New Roman"/>
          <w:szCs w:val="24"/>
        </w:rPr>
      </w:pPr>
    </w:p>
    <w:p w14:paraId="1D0E55BE" w14:textId="77777777" w:rsidR="00E21FDC" w:rsidRPr="00893253" w:rsidRDefault="00E21FDC" w:rsidP="000D1D85">
      <w:pPr>
        <w:spacing w:after="0" w:line="360" w:lineRule="auto"/>
        <w:jc w:val="both"/>
        <w:rPr>
          <w:rFonts w:cs="Times New Roman"/>
          <w:szCs w:val="24"/>
        </w:rPr>
      </w:pPr>
      <w:r w:rsidRPr="00893253">
        <w:rPr>
          <w:rFonts w:cs="Times New Roman"/>
          <w:szCs w:val="24"/>
        </w:rPr>
        <w:t>En relación con los recursos y resultados organizacionales, el constructo apoyo gerencial digital durante la pandemia (POS1) obtuvo un AVE de 0.68, evidenciando una adecuada capacidad explicativa. De manera consistente, uso de redes sociales (RO1) presentó un AVE de 0.60, satisfacción del cliente (RO2) alcanzó el valor más alto (AVE = 0.70), y nuevas herramientas digitales (RO3) registró un AVE de 0.66.</w:t>
      </w:r>
    </w:p>
    <w:p w14:paraId="49FC1032" w14:textId="77777777" w:rsidR="00E21FDC" w:rsidRPr="00893253" w:rsidRDefault="00E21FDC" w:rsidP="000D1D85">
      <w:pPr>
        <w:spacing w:after="0" w:line="360" w:lineRule="auto"/>
        <w:jc w:val="both"/>
        <w:rPr>
          <w:rFonts w:cs="Times New Roman"/>
          <w:szCs w:val="24"/>
        </w:rPr>
      </w:pPr>
    </w:p>
    <w:p w14:paraId="78A8E646" w14:textId="66063484" w:rsidR="00BE41DD" w:rsidRPr="00893253" w:rsidRDefault="00E21FDC" w:rsidP="000D1D85">
      <w:pPr>
        <w:spacing w:after="0" w:line="360" w:lineRule="auto"/>
        <w:jc w:val="both"/>
        <w:rPr>
          <w:rFonts w:cs="Times New Roman"/>
          <w:szCs w:val="24"/>
        </w:rPr>
      </w:pPr>
      <w:r w:rsidRPr="00893253">
        <w:rPr>
          <w:rFonts w:cs="Times New Roman"/>
          <w:szCs w:val="24"/>
        </w:rPr>
        <w:lastRenderedPageBreak/>
        <w:t>En conjunto, estos resultados confirman que los constructos del modelo capturan de manera adecuada la varianza de sus indicadores, cumpliendo con los criterios de validez convergente recomendados en la literatura de PLS-SEM y respaldando la pertinencia del modelo de medición para el análisis estructural posterior.</w:t>
      </w:r>
    </w:p>
    <w:p w14:paraId="098869BA" w14:textId="77777777" w:rsidR="00E21FDC" w:rsidRPr="00893253" w:rsidRDefault="00E21FDC" w:rsidP="000D1D85">
      <w:pPr>
        <w:spacing w:after="0" w:line="360" w:lineRule="auto"/>
        <w:jc w:val="both"/>
        <w:rPr>
          <w:rFonts w:cs="Times New Roman"/>
          <w:szCs w:val="24"/>
        </w:rPr>
      </w:pPr>
    </w:p>
    <w:p w14:paraId="02971560" w14:textId="5B4F91EB" w:rsidR="00BE41DD" w:rsidRPr="00893253" w:rsidRDefault="00C33751" w:rsidP="007307AA">
      <w:pPr>
        <w:spacing w:line="360" w:lineRule="auto"/>
        <w:jc w:val="both"/>
        <w:rPr>
          <w:rFonts w:cs="Times New Roman"/>
          <w:b/>
          <w:bCs/>
          <w:szCs w:val="24"/>
        </w:rPr>
      </w:pPr>
      <w:r w:rsidRPr="00893253">
        <w:rPr>
          <w:rFonts w:cs="Times New Roman"/>
          <w:b/>
          <w:bCs/>
          <w:szCs w:val="24"/>
        </w:rPr>
        <w:t>c</w:t>
      </w:r>
      <w:r w:rsidR="00BE41DD" w:rsidRPr="00893253">
        <w:rPr>
          <w:rFonts w:cs="Times New Roman"/>
          <w:b/>
          <w:bCs/>
          <w:szCs w:val="24"/>
        </w:rPr>
        <w:t>. Validez Discriminante</w:t>
      </w:r>
      <w:r w:rsidR="00E21FDC" w:rsidRPr="00893253">
        <w:rPr>
          <w:rFonts w:cs="Times New Roman"/>
          <w:b/>
          <w:bCs/>
          <w:szCs w:val="24"/>
        </w:rPr>
        <w:t xml:space="preserve"> del modelo </w:t>
      </w:r>
    </w:p>
    <w:p w14:paraId="5761F6E6" w14:textId="77777777" w:rsidR="00E21FDC" w:rsidRPr="00893253" w:rsidRDefault="00BE41DD" w:rsidP="000D1D85">
      <w:pPr>
        <w:spacing w:after="0" w:line="360" w:lineRule="auto"/>
        <w:jc w:val="both"/>
        <w:rPr>
          <w:rFonts w:cs="Times New Roman"/>
          <w:szCs w:val="24"/>
        </w:rPr>
      </w:pPr>
      <w:r w:rsidRPr="00893253">
        <w:rPr>
          <w:rFonts w:cs="Times New Roman"/>
          <w:szCs w:val="24"/>
        </w:rPr>
        <w:t>El criterio de Fornell-</w:t>
      </w:r>
      <w:proofErr w:type="spellStart"/>
      <w:r w:rsidRPr="00893253">
        <w:rPr>
          <w:rFonts w:cs="Times New Roman"/>
          <w:szCs w:val="24"/>
        </w:rPr>
        <w:t>Larcker</w:t>
      </w:r>
      <w:proofErr w:type="spellEnd"/>
      <w:r w:rsidRPr="00893253">
        <w:rPr>
          <w:rFonts w:cs="Times New Roman"/>
          <w:szCs w:val="24"/>
        </w:rPr>
        <w:t xml:space="preserve"> se cumplió en todos los casos. Además, el índice HTMT entre </w:t>
      </w:r>
      <w:proofErr w:type="spellStart"/>
      <w:r w:rsidRPr="00893253">
        <w:rPr>
          <w:rFonts w:cs="Times New Roman"/>
          <w:szCs w:val="24"/>
        </w:rPr>
        <w:t>t</w:t>
      </w:r>
      <w:r w:rsidR="00E21FDC" w:rsidRPr="00893253">
        <w:rPr>
          <w:rFonts w:cs="Times New Roman"/>
          <w:szCs w:val="24"/>
        </w:rPr>
        <w:t>La</w:t>
      </w:r>
      <w:proofErr w:type="spellEnd"/>
      <w:r w:rsidR="00E21FDC" w:rsidRPr="00893253">
        <w:rPr>
          <w:rFonts w:cs="Times New Roman"/>
          <w:szCs w:val="24"/>
        </w:rPr>
        <w:t xml:space="preserve"> validez discriminante se evaluó mediante dos procedimientos complementarios ampliamente recomendados en la literatura PLS-SEM: el criterio de Fornell-</w:t>
      </w:r>
      <w:proofErr w:type="spellStart"/>
      <w:r w:rsidR="00E21FDC" w:rsidRPr="00893253">
        <w:rPr>
          <w:rFonts w:cs="Times New Roman"/>
          <w:szCs w:val="24"/>
        </w:rPr>
        <w:t>Larcker</w:t>
      </w:r>
      <w:proofErr w:type="spellEnd"/>
      <w:r w:rsidR="00E21FDC" w:rsidRPr="00893253">
        <w:rPr>
          <w:rFonts w:cs="Times New Roman"/>
          <w:szCs w:val="24"/>
        </w:rPr>
        <w:t xml:space="preserve"> y el índice de razón </w:t>
      </w:r>
      <w:proofErr w:type="spellStart"/>
      <w:r w:rsidR="00E21FDC" w:rsidRPr="00893253">
        <w:rPr>
          <w:rFonts w:cs="Times New Roman"/>
          <w:szCs w:val="24"/>
        </w:rPr>
        <w:t>heterotrait-monotrait</w:t>
      </w:r>
      <w:proofErr w:type="spellEnd"/>
      <w:r w:rsidR="00E21FDC" w:rsidRPr="00893253">
        <w:rPr>
          <w:rFonts w:cs="Times New Roman"/>
          <w:szCs w:val="24"/>
        </w:rPr>
        <w:t xml:space="preserve"> (HTMT). Este enfoque dual permite una verificación más rigurosa de la diferenciación empírica entre constructos.</w:t>
      </w:r>
    </w:p>
    <w:p w14:paraId="6449B04A" w14:textId="77777777" w:rsidR="00E21FDC" w:rsidRPr="00893253" w:rsidRDefault="00E21FDC" w:rsidP="000D1D85">
      <w:pPr>
        <w:spacing w:after="0" w:line="360" w:lineRule="auto"/>
        <w:jc w:val="both"/>
        <w:rPr>
          <w:rFonts w:cs="Times New Roman"/>
          <w:szCs w:val="24"/>
        </w:rPr>
      </w:pPr>
    </w:p>
    <w:p w14:paraId="79FD05CF" w14:textId="77777777" w:rsidR="00E21FDC" w:rsidRPr="00893253" w:rsidRDefault="00E21FDC" w:rsidP="000D1D85">
      <w:pPr>
        <w:spacing w:after="0" w:line="360" w:lineRule="auto"/>
        <w:jc w:val="both"/>
        <w:rPr>
          <w:rFonts w:cs="Times New Roman"/>
          <w:szCs w:val="24"/>
        </w:rPr>
      </w:pPr>
      <w:r w:rsidRPr="00893253">
        <w:rPr>
          <w:rFonts w:cs="Times New Roman"/>
          <w:szCs w:val="24"/>
        </w:rPr>
        <w:t>En primer lugar, de acuerdo con el criterio de Fornell-</w:t>
      </w:r>
      <w:proofErr w:type="spellStart"/>
      <w:r w:rsidRPr="00893253">
        <w:rPr>
          <w:rFonts w:cs="Times New Roman"/>
          <w:szCs w:val="24"/>
        </w:rPr>
        <w:t>Larcker</w:t>
      </w:r>
      <w:proofErr w:type="spellEnd"/>
      <w:r w:rsidRPr="00893253">
        <w:rPr>
          <w:rFonts w:cs="Times New Roman"/>
          <w:szCs w:val="24"/>
        </w:rPr>
        <w:t>, la raíz cuadrada del AVE de cada constructo resultó superior a sus correlaciones con los demás constructos del modelo, lo que indica que cada variable latente comparte mayor varianza con sus propios indicadores que con los de otros constructos. Este resultado proporciona evidencia inicial de adecuada discriminación conceptual.</w:t>
      </w:r>
    </w:p>
    <w:p w14:paraId="7AD4CADC" w14:textId="77777777" w:rsidR="00E21FDC" w:rsidRPr="00893253" w:rsidRDefault="00E21FDC" w:rsidP="000D1D85">
      <w:pPr>
        <w:spacing w:after="0" w:line="360" w:lineRule="auto"/>
        <w:jc w:val="both"/>
        <w:rPr>
          <w:rFonts w:cs="Times New Roman"/>
          <w:szCs w:val="24"/>
        </w:rPr>
      </w:pPr>
    </w:p>
    <w:p w14:paraId="50775315" w14:textId="77777777" w:rsidR="00E21FDC" w:rsidRPr="00893253" w:rsidRDefault="00E21FDC" w:rsidP="000D1D85">
      <w:pPr>
        <w:spacing w:after="0" w:line="360" w:lineRule="auto"/>
        <w:jc w:val="both"/>
        <w:rPr>
          <w:rFonts w:cs="Times New Roman"/>
          <w:szCs w:val="24"/>
        </w:rPr>
      </w:pPr>
      <w:r w:rsidRPr="00893253">
        <w:rPr>
          <w:rFonts w:cs="Times New Roman"/>
          <w:szCs w:val="24"/>
        </w:rPr>
        <w:t>En segundo lugar, se examinó el índice HTMT, considerado un criterio más sensible para detectar problemas de validez discriminante. Todos los valores HTMT se situaron por debajo del umbral conservador de 0.85, lo que confirma que no existen problemas de solapamiento excesivo entre los constructos y que cada uno captura un dominio conceptual empíricamente distinto.</w:t>
      </w:r>
    </w:p>
    <w:p w14:paraId="0CBB1B88" w14:textId="77777777" w:rsidR="00E21FDC" w:rsidRPr="00893253" w:rsidRDefault="00E21FDC" w:rsidP="000D1D85">
      <w:pPr>
        <w:spacing w:after="0" w:line="360" w:lineRule="auto"/>
        <w:jc w:val="both"/>
        <w:rPr>
          <w:rFonts w:cs="Times New Roman"/>
          <w:szCs w:val="24"/>
        </w:rPr>
      </w:pPr>
    </w:p>
    <w:p w14:paraId="3F44FE57" w14:textId="77777777" w:rsidR="00E21FDC" w:rsidRDefault="00E21FDC" w:rsidP="000D1D85">
      <w:pPr>
        <w:spacing w:after="0" w:line="360" w:lineRule="auto"/>
        <w:jc w:val="both"/>
        <w:rPr>
          <w:rFonts w:cs="Times New Roman"/>
          <w:szCs w:val="24"/>
        </w:rPr>
      </w:pPr>
      <w:r w:rsidRPr="00893253">
        <w:rPr>
          <w:rFonts w:cs="Times New Roman"/>
          <w:szCs w:val="24"/>
        </w:rPr>
        <w:t>En conjunto, la evidencia obtenida a partir de ambos criterios permite afirmar que el modelo de medición presenta adecuados niveles de validez discriminante, cumpliendo con las recomendaciones metodológicas actuales para modelos PLS-SEM. Esto respalda la idoneidad de la especificación del modelo y habilita la interpretación del modelo estructural con un nivel apropiado de rigor estadístico.</w:t>
      </w:r>
    </w:p>
    <w:p w14:paraId="59D37ED3" w14:textId="77777777" w:rsidR="00893253" w:rsidRPr="00893253" w:rsidRDefault="00893253" w:rsidP="000D1D85">
      <w:pPr>
        <w:spacing w:after="0" w:line="360" w:lineRule="auto"/>
        <w:jc w:val="both"/>
        <w:rPr>
          <w:rFonts w:cs="Times New Roman"/>
          <w:szCs w:val="24"/>
        </w:rPr>
      </w:pPr>
    </w:p>
    <w:p w14:paraId="5C90DACC" w14:textId="097B4A6C" w:rsidR="009B3A7B" w:rsidRPr="00893253" w:rsidRDefault="00C33751" w:rsidP="007307AA">
      <w:pPr>
        <w:spacing w:line="360" w:lineRule="auto"/>
        <w:jc w:val="both"/>
        <w:rPr>
          <w:rFonts w:cs="Times New Roman"/>
          <w:b/>
          <w:bCs/>
          <w:szCs w:val="24"/>
        </w:rPr>
      </w:pPr>
      <w:r w:rsidRPr="00893253">
        <w:rPr>
          <w:rFonts w:cs="Times New Roman"/>
          <w:b/>
          <w:bCs/>
          <w:szCs w:val="24"/>
        </w:rPr>
        <w:t>d</w:t>
      </w:r>
      <w:r w:rsidR="009B3A7B" w:rsidRPr="00893253">
        <w:rPr>
          <w:rFonts w:cs="Times New Roman"/>
          <w:b/>
          <w:bCs/>
          <w:szCs w:val="24"/>
        </w:rPr>
        <w:t xml:space="preserve">. Evaluación de las relaciones estructurales del modelo </w:t>
      </w:r>
    </w:p>
    <w:p w14:paraId="3562ECF4" w14:textId="77777777" w:rsidR="009B3A7B" w:rsidRPr="00893253" w:rsidRDefault="009B3A7B" w:rsidP="000D1D85">
      <w:pPr>
        <w:spacing w:after="0" w:line="360" w:lineRule="auto"/>
        <w:jc w:val="both"/>
        <w:rPr>
          <w:rFonts w:cs="Times New Roman"/>
          <w:szCs w:val="24"/>
        </w:rPr>
      </w:pPr>
      <w:r w:rsidRPr="00893253">
        <w:rPr>
          <w:rFonts w:cs="Times New Roman"/>
          <w:szCs w:val="24"/>
        </w:rPr>
        <w:lastRenderedPageBreak/>
        <w:t xml:space="preserve">La significancia de las relaciones hipotetizadas se examinó mediante el procedimiento de </w:t>
      </w:r>
      <w:proofErr w:type="spellStart"/>
      <w:r w:rsidRPr="00893253">
        <w:rPr>
          <w:rFonts w:cs="Times New Roman"/>
          <w:szCs w:val="24"/>
        </w:rPr>
        <w:t>bootstrapping</w:t>
      </w:r>
      <w:proofErr w:type="spellEnd"/>
      <w:r w:rsidRPr="00893253">
        <w:rPr>
          <w:rFonts w:cs="Times New Roman"/>
          <w:szCs w:val="24"/>
        </w:rPr>
        <w:t xml:space="preserve"> con 5.000 submuestras, siguiendo las recomendaciones metodológicas para PLS-SEM. Los resultados evidencian que todas las trayectorias estructurales propuestas son estadísticamente significativas y presentan coherencia teórica con el modelo HERO.</w:t>
      </w:r>
    </w:p>
    <w:p w14:paraId="2F291253" w14:textId="77777777" w:rsidR="009B3A7B" w:rsidRPr="00893253" w:rsidRDefault="009B3A7B" w:rsidP="000D1D85">
      <w:pPr>
        <w:spacing w:after="0" w:line="360" w:lineRule="auto"/>
        <w:jc w:val="both"/>
        <w:rPr>
          <w:rFonts w:cs="Times New Roman"/>
          <w:szCs w:val="24"/>
        </w:rPr>
      </w:pPr>
    </w:p>
    <w:p w14:paraId="55B0D125" w14:textId="77777777" w:rsidR="009B3A7B" w:rsidRPr="00893253" w:rsidRDefault="009B3A7B" w:rsidP="000D1D85">
      <w:pPr>
        <w:spacing w:after="0" w:line="360" w:lineRule="auto"/>
        <w:jc w:val="both"/>
        <w:rPr>
          <w:rFonts w:cs="Times New Roman"/>
          <w:szCs w:val="24"/>
        </w:rPr>
      </w:pPr>
      <w:r w:rsidRPr="00893253">
        <w:rPr>
          <w:rFonts w:cs="Times New Roman"/>
          <w:szCs w:val="24"/>
        </w:rPr>
        <w:t>En primer lugar, el empoderamiento del personal (SP1) mostró un efecto positivo y significativo sobre la satisfacción del cliente (RO2) (β = 0.321; t = 4.982; p &lt; 0.001), lo que confirma el papel del capital humano como mecanismo clave de generación de valor organizacional en microempresas.</w:t>
      </w:r>
    </w:p>
    <w:p w14:paraId="7B544DDB" w14:textId="77777777" w:rsidR="009B3A7B" w:rsidRPr="00893253" w:rsidRDefault="009B3A7B" w:rsidP="000D1D85">
      <w:pPr>
        <w:spacing w:after="0" w:line="360" w:lineRule="auto"/>
        <w:jc w:val="both"/>
        <w:rPr>
          <w:rFonts w:cs="Times New Roman"/>
          <w:szCs w:val="24"/>
        </w:rPr>
      </w:pPr>
    </w:p>
    <w:p w14:paraId="6C3BCD75" w14:textId="77777777" w:rsidR="009B3A7B" w:rsidRPr="00893253" w:rsidRDefault="009B3A7B" w:rsidP="000D1D85">
      <w:pPr>
        <w:spacing w:after="0" w:line="360" w:lineRule="auto"/>
        <w:jc w:val="both"/>
        <w:rPr>
          <w:rFonts w:cs="Times New Roman"/>
          <w:szCs w:val="24"/>
        </w:rPr>
      </w:pPr>
      <w:r w:rsidRPr="00893253">
        <w:rPr>
          <w:rFonts w:cs="Times New Roman"/>
          <w:szCs w:val="24"/>
        </w:rPr>
        <w:t>Asimismo, el compromiso gerencial (SP2) evidenció una influencia positiva y robusta sobre el empoderamiento del personal (SP1) (β = 0.402; t = 6.145; p &lt; 0.001), constituyéndose en el predictor de mayor magnitud dentro del modelo. De manera complementaria, el sentido de pertenencia (SP3) también incidió significativamente sobre el empoderamiento (β = 0.257; t = 3.487; p = 0.001), lo que refuerza la importancia de los factores psicosociales en la configuración de empleados saludables.</w:t>
      </w:r>
    </w:p>
    <w:p w14:paraId="4D45E7EE" w14:textId="77777777" w:rsidR="009B3A7B" w:rsidRPr="00893253" w:rsidRDefault="009B3A7B" w:rsidP="000D1D85">
      <w:pPr>
        <w:spacing w:after="0" w:line="360" w:lineRule="auto"/>
        <w:jc w:val="both"/>
        <w:rPr>
          <w:rFonts w:cs="Times New Roman"/>
          <w:szCs w:val="24"/>
        </w:rPr>
      </w:pPr>
    </w:p>
    <w:p w14:paraId="0DDF7AFE" w14:textId="77777777" w:rsidR="009B3A7B" w:rsidRPr="00893253" w:rsidRDefault="009B3A7B" w:rsidP="000D1D85">
      <w:pPr>
        <w:spacing w:after="0" w:line="360" w:lineRule="auto"/>
        <w:jc w:val="both"/>
        <w:rPr>
          <w:rFonts w:cs="Times New Roman"/>
          <w:szCs w:val="24"/>
        </w:rPr>
      </w:pPr>
      <w:r w:rsidRPr="00893253">
        <w:rPr>
          <w:rFonts w:cs="Times New Roman"/>
          <w:szCs w:val="24"/>
        </w:rPr>
        <w:t>En el ámbito de la digitalización, el apoyo gerencial digital durante la pandemia (POS1) presentó un efecto positivo y significativo sobre la implementación de herramientas digitales (RO3) (β = 0.377; t = 5.176; p &lt; 0.001), lo que evidencia la relevancia del acompañamiento directivo para la adopción tecnológica en contextos de restricción de recursos.</w:t>
      </w:r>
    </w:p>
    <w:p w14:paraId="517E1A78" w14:textId="77777777" w:rsidR="009B3A7B" w:rsidRPr="00893253" w:rsidRDefault="009B3A7B" w:rsidP="000D1D85">
      <w:pPr>
        <w:spacing w:after="0" w:line="360" w:lineRule="auto"/>
        <w:jc w:val="both"/>
        <w:rPr>
          <w:rFonts w:cs="Times New Roman"/>
          <w:szCs w:val="24"/>
        </w:rPr>
      </w:pPr>
    </w:p>
    <w:p w14:paraId="6DCA5046" w14:textId="77777777" w:rsidR="009B3A7B" w:rsidRPr="00893253" w:rsidRDefault="009B3A7B" w:rsidP="000D1D85">
      <w:pPr>
        <w:spacing w:after="0" w:line="360" w:lineRule="auto"/>
        <w:jc w:val="both"/>
        <w:rPr>
          <w:rFonts w:cs="Times New Roman"/>
          <w:szCs w:val="24"/>
        </w:rPr>
      </w:pPr>
      <w:r w:rsidRPr="00893253">
        <w:rPr>
          <w:rFonts w:cs="Times New Roman"/>
          <w:szCs w:val="24"/>
        </w:rPr>
        <w:t>Por su parte, el uso de redes sociales (RO1) mostró una relación positiva y significativa con la satisfacción del cliente (RO2) (β = 0.298; t = 4.301; p &lt; 0.001), sugiriendo que estas plataformas constituyen un mecanismo accesible de interacción y generación de valor para las microempresas analizadas.</w:t>
      </w:r>
    </w:p>
    <w:p w14:paraId="05766FBD" w14:textId="77777777" w:rsidR="009B3A7B" w:rsidRPr="00893253" w:rsidRDefault="009B3A7B" w:rsidP="000D1D85">
      <w:pPr>
        <w:spacing w:after="0" w:line="360" w:lineRule="auto"/>
        <w:jc w:val="both"/>
        <w:rPr>
          <w:rFonts w:cs="Times New Roman"/>
          <w:szCs w:val="24"/>
        </w:rPr>
      </w:pPr>
    </w:p>
    <w:p w14:paraId="2BA96520" w14:textId="77777777" w:rsidR="009B3A7B" w:rsidRPr="00893253" w:rsidRDefault="009B3A7B" w:rsidP="007307AA">
      <w:pPr>
        <w:spacing w:line="360" w:lineRule="auto"/>
        <w:jc w:val="both"/>
        <w:rPr>
          <w:rFonts w:cs="Times New Roman"/>
          <w:szCs w:val="24"/>
        </w:rPr>
      </w:pPr>
      <w:r w:rsidRPr="00893253">
        <w:rPr>
          <w:rFonts w:cs="Times New Roman"/>
          <w:szCs w:val="24"/>
        </w:rPr>
        <w:t xml:space="preserve">Finalmente, se identificó un efecto indirecto significativo de la implementación de herramientas digitales (RO3) sobre la satisfacción del cliente (RO2) (β = 0.201; t = 2.945; </w:t>
      </w:r>
      <w:r w:rsidRPr="00893253">
        <w:rPr>
          <w:rFonts w:cs="Times New Roman"/>
          <w:szCs w:val="24"/>
        </w:rPr>
        <w:lastRenderedPageBreak/>
        <w:t>p = 0.004), lo que indica la presencia de un mecanismo de mediación parcial dentro del modelo.</w:t>
      </w:r>
    </w:p>
    <w:p w14:paraId="250BA84D" w14:textId="40B98EDC" w:rsidR="00BE41DD" w:rsidRPr="00893253" w:rsidRDefault="009B3A7B" w:rsidP="000D1D85">
      <w:pPr>
        <w:spacing w:after="0" w:line="360" w:lineRule="auto"/>
        <w:jc w:val="both"/>
        <w:rPr>
          <w:rFonts w:cs="Times New Roman"/>
          <w:szCs w:val="24"/>
        </w:rPr>
      </w:pPr>
      <w:r w:rsidRPr="00893253">
        <w:rPr>
          <w:rFonts w:cs="Times New Roman"/>
          <w:szCs w:val="24"/>
        </w:rPr>
        <w:t>En conjunto, los resultados confirman la validez del entramado relacional propuesto por el modelo HERO adaptado, evidenciando que las prácticas organizacionales saludables y la digitalización actúan de manera complementaria en la explicación de los resultados organizacionales en microempresas ubicadas en contextos humanitarios de frontera.</w:t>
      </w:r>
    </w:p>
    <w:p w14:paraId="18A11C7A" w14:textId="77777777" w:rsidR="00AA60C0" w:rsidRPr="00893253" w:rsidRDefault="00AA60C0" w:rsidP="000D1D85">
      <w:pPr>
        <w:spacing w:after="0" w:line="360" w:lineRule="auto"/>
        <w:jc w:val="both"/>
        <w:rPr>
          <w:rFonts w:cs="Times New Roman"/>
          <w:szCs w:val="24"/>
        </w:rPr>
      </w:pPr>
    </w:p>
    <w:p w14:paraId="1098270C" w14:textId="35A4DB5C" w:rsidR="00B20899" w:rsidRPr="007307AA" w:rsidRDefault="00202EBC" w:rsidP="007307AA">
      <w:pPr>
        <w:spacing w:line="360" w:lineRule="auto"/>
        <w:jc w:val="both"/>
        <w:rPr>
          <w:rFonts w:cs="Times New Roman"/>
          <w:b/>
          <w:bCs/>
          <w:i/>
          <w:iCs/>
          <w:szCs w:val="24"/>
        </w:rPr>
      </w:pPr>
      <w:r w:rsidRPr="007307AA">
        <w:rPr>
          <w:rFonts w:cs="Times New Roman"/>
          <w:b/>
          <w:bCs/>
          <w:i/>
          <w:iCs/>
          <w:szCs w:val="24"/>
        </w:rPr>
        <w:t>e</w:t>
      </w:r>
      <w:r w:rsidR="00B20899" w:rsidRPr="007307AA">
        <w:rPr>
          <w:rFonts w:cs="Times New Roman"/>
          <w:b/>
          <w:bCs/>
          <w:i/>
          <w:iCs/>
          <w:szCs w:val="24"/>
        </w:rPr>
        <w:t>. Capacidad explicativa, tamaño del efecto y relevancia predictiva</w:t>
      </w:r>
    </w:p>
    <w:p w14:paraId="0B7B6632" w14:textId="77777777" w:rsidR="00B20899" w:rsidRPr="00893253" w:rsidRDefault="00B20899" w:rsidP="000D1D85">
      <w:pPr>
        <w:spacing w:after="0" w:line="360" w:lineRule="auto"/>
        <w:jc w:val="both"/>
        <w:rPr>
          <w:rFonts w:cs="Times New Roman"/>
          <w:szCs w:val="24"/>
        </w:rPr>
      </w:pPr>
      <w:r w:rsidRPr="00893253">
        <w:rPr>
          <w:rFonts w:cs="Times New Roman"/>
          <w:szCs w:val="24"/>
        </w:rPr>
        <w:t>La evaluación del modelo estructural se complementó mediante el análisis del coeficiente de determinación (R²), los tamaños del efecto (f²) y la relevancia predictiva (Q²), siguiendo las recomendaciones metodológicas para PLS-SEM.</w:t>
      </w:r>
    </w:p>
    <w:p w14:paraId="180C318E" w14:textId="77777777" w:rsidR="00B20899" w:rsidRPr="00893253" w:rsidRDefault="00B20899" w:rsidP="000D1D85">
      <w:pPr>
        <w:spacing w:after="0" w:line="360" w:lineRule="auto"/>
        <w:jc w:val="both"/>
        <w:rPr>
          <w:rFonts w:cs="Times New Roman"/>
          <w:szCs w:val="24"/>
        </w:rPr>
      </w:pPr>
    </w:p>
    <w:p w14:paraId="26D5E091" w14:textId="77777777" w:rsidR="00B20899" w:rsidRPr="00893253" w:rsidRDefault="00B20899" w:rsidP="000D1D85">
      <w:pPr>
        <w:spacing w:after="0" w:line="360" w:lineRule="auto"/>
        <w:jc w:val="both"/>
        <w:rPr>
          <w:rFonts w:cs="Times New Roman"/>
          <w:szCs w:val="24"/>
        </w:rPr>
      </w:pPr>
      <w:r w:rsidRPr="00893253">
        <w:rPr>
          <w:rFonts w:cs="Times New Roman"/>
          <w:szCs w:val="24"/>
        </w:rPr>
        <w:t>En términos de capacidad explicativa, los valores de R² indican que el modelo presenta un poder predictivo sustancial en las variables endógenas clave. Específicamente, el empoderamiento del personal (SP1) alcanzó un R² de 0.419, lo que sugiere una capacidad explicativa moderada-alta por parte de sus predictores. Por su parte, la satisfacción del cliente (RO2) registró un R² de 0.583, evidenciando una capacidad explicativa sustancial del modelo en el resultado organizacional principal. Asimismo, la adopción de herramientas digitales (RO3) presentó un R² de 0.387, considerado moderado en estudios de comportamiento organizacional.</w:t>
      </w:r>
    </w:p>
    <w:p w14:paraId="7614D531" w14:textId="77777777" w:rsidR="00B20899" w:rsidRPr="00893253" w:rsidRDefault="00B20899" w:rsidP="000D1D85">
      <w:pPr>
        <w:spacing w:after="0" w:line="360" w:lineRule="auto"/>
        <w:jc w:val="both"/>
        <w:rPr>
          <w:rFonts w:cs="Times New Roman"/>
          <w:szCs w:val="24"/>
        </w:rPr>
      </w:pPr>
    </w:p>
    <w:p w14:paraId="1843B3B0" w14:textId="074C291A" w:rsidR="00B20899" w:rsidRPr="00893253" w:rsidRDefault="00B20899" w:rsidP="000D1D85">
      <w:pPr>
        <w:spacing w:after="0" w:line="360" w:lineRule="auto"/>
        <w:jc w:val="both"/>
        <w:rPr>
          <w:rFonts w:cs="Times New Roman"/>
          <w:szCs w:val="24"/>
        </w:rPr>
      </w:pPr>
      <w:r w:rsidRPr="00893253">
        <w:rPr>
          <w:rFonts w:cs="Times New Roman"/>
          <w:szCs w:val="24"/>
        </w:rPr>
        <w:t xml:space="preserve">En relación con los tamaños del efecto (f²), las relaciones estructurales mostraron contribuciones diferenciadas de los constructos exógenos sobre las variables dependientes, lo que sugiere que el modelo no depende de un único </w:t>
      </w:r>
      <w:r w:rsidR="00905240" w:rsidRPr="00893253">
        <w:rPr>
          <w:rFonts w:cs="Times New Roman"/>
          <w:szCs w:val="24"/>
        </w:rPr>
        <w:t>predictora dominante</w:t>
      </w:r>
      <w:r w:rsidRPr="00893253">
        <w:rPr>
          <w:rFonts w:cs="Times New Roman"/>
          <w:szCs w:val="24"/>
        </w:rPr>
        <w:t>, sino de un entramado de efectos complementarios coherentes con la lógica del modelo HERO.</w:t>
      </w:r>
    </w:p>
    <w:p w14:paraId="78511637" w14:textId="77777777" w:rsidR="00B20899" w:rsidRPr="00893253" w:rsidRDefault="00B20899" w:rsidP="000D1D85">
      <w:pPr>
        <w:spacing w:after="0" w:line="360" w:lineRule="auto"/>
        <w:jc w:val="both"/>
        <w:rPr>
          <w:rFonts w:cs="Times New Roman"/>
          <w:szCs w:val="24"/>
        </w:rPr>
      </w:pPr>
    </w:p>
    <w:p w14:paraId="59CE2D6C" w14:textId="77777777" w:rsidR="00B20899" w:rsidRPr="00893253" w:rsidRDefault="00B20899" w:rsidP="000D1D85">
      <w:pPr>
        <w:spacing w:after="0" w:line="360" w:lineRule="auto"/>
        <w:jc w:val="both"/>
        <w:rPr>
          <w:rFonts w:cs="Times New Roman"/>
          <w:szCs w:val="24"/>
        </w:rPr>
      </w:pPr>
      <w:r w:rsidRPr="00893253">
        <w:rPr>
          <w:rFonts w:cs="Times New Roman"/>
          <w:szCs w:val="24"/>
        </w:rPr>
        <w:t xml:space="preserve">Finalmente, la relevancia predictiva se evaluó mediante el estadístico Q² obtenido a través del procedimiento de </w:t>
      </w:r>
      <w:proofErr w:type="spellStart"/>
      <w:r w:rsidRPr="00893253">
        <w:rPr>
          <w:rFonts w:cs="Times New Roman"/>
          <w:szCs w:val="24"/>
        </w:rPr>
        <w:t>blindfolding</w:t>
      </w:r>
      <w:proofErr w:type="spellEnd"/>
      <w:r w:rsidRPr="00893253">
        <w:rPr>
          <w:rFonts w:cs="Times New Roman"/>
          <w:szCs w:val="24"/>
        </w:rPr>
        <w:t>. Todos los constructos endógenos presentaron valores Q² positivos (SP1 = 0.312; RO2 = 0.461; RO3 = 0.281), lo que confirma que el modelo posee capacidad predictiva fuera de la muestra y, por tanto, adecuada validez predictiva.</w:t>
      </w:r>
    </w:p>
    <w:p w14:paraId="55B1625F" w14:textId="77777777" w:rsidR="00B20899" w:rsidRPr="00893253" w:rsidRDefault="00B20899" w:rsidP="000D1D85">
      <w:pPr>
        <w:spacing w:after="0" w:line="360" w:lineRule="auto"/>
        <w:jc w:val="both"/>
        <w:rPr>
          <w:rFonts w:cs="Times New Roman"/>
          <w:szCs w:val="24"/>
        </w:rPr>
      </w:pPr>
    </w:p>
    <w:p w14:paraId="65D8EC81" w14:textId="34CDDEB1" w:rsidR="00752EDC" w:rsidRPr="00893253" w:rsidRDefault="00B20899" w:rsidP="000D1D85">
      <w:pPr>
        <w:spacing w:after="0" w:line="360" w:lineRule="auto"/>
        <w:jc w:val="both"/>
        <w:rPr>
          <w:rFonts w:cs="Times New Roman"/>
          <w:szCs w:val="24"/>
        </w:rPr>
      </w:pPr>
      <w:r w:rsidRPr="00893253">
        <w:rPr>
          <w:rFonts w:cs="Times New Roman"/>
          <w:szCs w:val="24"/>
        </w:rPr>
        <w:t>En conjunto, estos resultados evidencian que el modelo estructural no solo presenta relaciones estadísticamente significativas, sino también niveles satisfactorios de capacidad explicativa y relevancia predictiva, lo que respalda la solidez empírica del modelo HERO en el contexto de microempresas ubicadas en territorios humanitarios de frontera.</w:t>
      </w:r>
    </w:p>
    <w:p w14:paraId="7A47B193" w14:textId="77777777" w:rsidR="00BB18B4" w:rsidRPr="00893253" w:rsidRDefault="00BB18B4" w:rsidP="000D1D85">
      <w:pPr>
        <w:spacing w:after="0" w:line="360" w:lineRule="auto"/>
        <w:jc w:val="both"/>
        <w:rPr>
          <w:rFonts w:cs="Times New Roman"/>
          <w:szCs w:val="24"/>
        </w:rPr>
      </w:pPr>
    </w:p>
    <w:p w14:paraId="4DF5F1AC" w14:textId="7C588999" w:rsidR="00B6776E" w:rsidRPr="007307AA" w:rsidRDefault="00752EDC" w:rsidP="007307AA">
      <w:pPr>
        <w:pStyle w:val="Prrafodelista"/>
        <w:numPr>
          <w:ilvl w:val="0"/>
          <w:numId w:val="22"/>
        </w:numPr>
        <w:spacing w:after="0" w:line="360" w:lineRule="auto"/>
        <w:jc w:val="both"/>
        <w:rPr>
          <w:rFonts w:cs="Times New Roman"/>
          <w:b/>
          <w:bCs/>
          <w:szCs w:val="24"/>
        </w:rPr>
      </w:pPr>
      <w:r w:rsidRPr="007307AA">
        <w:rPr>
          <w:rFonts w:cs="Times New Roman"/>
          <w:b/>
          <w:bCs/>
          <w:szCs w:val="24"/>
        </w:rPr>
        <w:t>DI</w:t>
      </w:r>
      <w:r w:rsidR="001F47FD" w:rsidRPr="007307AA">
        <w:rPr>
          <w:rFonts w:cs="Times New Roman"/>
          <w:b/>
          <w:bCs/>
          <w:szCs w:val="24"/>
        </w:rPr>
        <w:t>S</w:t>
      </w:r>
      <w:r w:rsidRPr="007307AA">
        <w:rPr>
          <w:rFonts w:cs="Times New Roman"/>
          <w:b/>
          <w:bCs/>
          <w:szCs w:val="24"/>
        </w:rPr>
        <w:t>CUSIÓN Y CONCLUSIONES</w:t>
      </w:r>
    </w:p>
    <w:p w14:paraId="08749A85" w14:textId="77777777" w:rsidR="007307AA" w:rsidRPr="007307AA" w:rsidRDefault="007307AA" w:rsidP="007307AA">
      <w:pPr>
        <w:pStyle w:val="Prrafodelista"/>
        <w:spacing w:after="0" w:line="360" w:lineRule="auto"/>
        <w:jc w:val="both"/>
        <w:rPr>
          <w:rFonts w:cs="Times New Roman"/>
          <w:b/>
          <w:bCs/>
          <w:szCs w:val="24"/>
        </w:rPr>
      </w:pPr>
    </w:p>
    <w:p w14:paraId="6F452108" w14:textId="7C542DB5" w:rsidR="00B6776E" w:rsidRPr="00893253" w:rsidRDefault="00B6776E" w:rsidP="007307AA">
      <w:pPr>
        <w:spacing w:line="360" w:lineRule="auto"/>
        <w:jc w:val="both"/>
        <w:rPr>
          <w:rFonts w:cs="Times New Roman"/>
          <w:b/>
          <w:bCs/>
          <w:szCs w:val="24"/>
        </w:rPr>
      </w:pPr>
      <w:r w:rsidRPr="00893253">
        <w:rPr>
          <w:rFonts w:cs="Times New Roman"/>
          <w:b/>
          <w:bCs/>
          <w:szCs w:val="24"/>
        </w:rPr>
        <w:t>Discusión de los Hallazgos</w:t>
      </w:r>
    </w:p>
    <w:p w14:paraId="01C7E61B" w14:textId="77777777" w:rsidR="005734F1" w:rsidRDefault="005734F1" w:rsidP="000D1D85">
      <w:pPr>
        <w:spacing w:after="0" w:line="360" w:lineRule="auto"/>
        <w:jc w:val="both"/>
        <w:rPr>
          <w:rFonts w:cs="Times New Roman"/>
          <w:szCs w:val="24"/>
        </w:rPr>
      </w:pPr>
      <w:r w:rsidRPr="00893253">
        <w:rPr>
          <w:rFonts w:cs="Times New Roman"/>
          <w:szCs w:val="24"/>
        </w:rPr>
        <w:t>Con el fin de no convertir los resultados en una discusión descriptiva o "típica", interpretamos los resultados en términos de Capital Social, es decir, como un conjunto de recursos que emergen de lo que produce la interacción humana (redes, normas de reciprocidad y confianza) y que facilitan la acción colectiva (Coleman, 1988; Putnam, 2000) y a su vez puede ser también un activo diferencial en situaciones desiguales cuando la cómo se distribuye se hace de manera asimétrica (Bourdieu, 1986). Así, en territorios de frontera, la movilidad humana no tan sólo suma trabajadores/as, sino que también transforma la ecología relacional: redefine quién confía por quién, qué redes son accesibles, o cómo se van generando lazos con las instituciones. Por lo tanto, la salud organizacional en microempresas puede interpretarse como capacidad relacional para reconvertir las interacciones del día a día como capital social útil.</w:t>
      </w:r>
    </w:p>
    <w:p w14:paraId="0B2DEC3A" w14:textId="77777777" w:rsidR="007307AA" w:rsidRPr="00893253" w:rsidRDefault="007307AA" w:rsidP="000D1D85">
      <w:pPr>
        <w:spacing w:after="0" w:line="360" w:lineRule="auto"/>
        <w:jc w:val="both"/>
        <w:rPr>
          <w:rFonts w:cs="Times New Roman"/>
          <w:szCs w:val="24"/>
        </w:rPr>
      </w:pPr>
    </w:p>
    <w:p w14:paraId="5C3C3605" w14:textId="77777777" w:rsidR="005734F1" w:rsidRPr="00893253" w:rsidRDefault="005734F1" w:rsidP="000D1D85">
      <w:pPr>
        <w:spacing w:after="0" w:line="360" w:lineRule="auto"/>
        <w:jc w:val="both"/>
        <w:rPr>
          <w:rFonts w:cs="Times New Roman"/>
          <w:szCs w:val="24"/>
        </w:rPr>
      </w:pPr>
      <w:r w:rsidRPr="00893253">
        <w:rPr>
          <w:rFonts w:cs="Times New Roman"/>
          <w:szCs w:val="24"/>
        </w:rPr>
        <w:t>En esta lógica, el liderazgo gerencial saludable se interpreta como generador de capital social “</w:t>
      </w:r>
      <w:proofErr w:type="spellStart"/>
      <w:r w:rsidRPr="00893253">
        <w:rPr>
          <w:rFonts w:cs="Times New Roman"/>
          <w:szCs w:val="24"/>
        </w:rPr>
        <w:t>linking</w:t>
      </w:r>
      <w:proofErr w:type="spellEnd"/>
      <w:r w:rsidRPr="00893253">
        <w:rPr>
          <w:rFonts w:cs="Times New Roman"/>
          <w:szCs w:val="24"/>
        </w:rPr>
        <w:t>” (lazos verticales con la autoridad, y acceso a recursos), en tanto que reduce la incertidumbre, establece normas de trato y genera expectativas de apoyo en organizaciones donde la formalización es limitada. La sólida trayectoria de compromiso gerencial hacia empoderamiento sugiere que el liderazgo no es sólo un adorno cultural, sino que es un mecanismo para transformar las relaciones jerárquicas en canales de recursos: información, autonomía operativa, y coordinación.</w:t>
      </w:r>
    </w:p>
    <w:p w14:paraId="5D11E8B8" w14:textId="77CE3521" w:rsidR="005734F1" w:rsidRPr="00893253" w:rsidRDefault="005734F1" w:rsidP="000D1D85">
      <w:pPr>
        <w:spacing w:after="0" w:line="360" w:lineRule="auto"/>
        <w:jc w:val="both"/>
        <w:rPr>
          <w:rFonts w:cs="Times New Roman"/>
          <w:szCs w:val="24"/>
        </w:rPr>
      </w:pPr>
      <w:r w:rsidRPr="00893253">
        <w:rPr>
          <w:rFonts w:cs="Times New Roman"/>
          <w:szCs w:val="24"/>
        </w:rPr>
        <w:t xml:space="preserve"> </w:t>
      </w:r>
    </w:p>
    <w:p w14:paraId="549C9F19" w14:textId="23DDE86D" w:rsidR="005734F1" w:rsidRPr="00893253" w:rsidRDefault="005734F1" w:rsidP="000D1D85">
      <w:pPr>
        <w:spacing w:after="0" w:line="360" w:lineRule="auto"/>
        <w:jc w:val="both"/>
        <w:rPr>
          <w:rFonts w:cs="Times New Roman"/>
          <w:szCs w:val="24"/>
        </w:rPr>
      </w:pPr>
      <w:r w:rsidRPr="00893253">
        <w:rPr>
          <w:rFonts w:cs="Times New Roman"/>
          <w:szCs w:val="24"/>
        </w:rPr>
        <w:t xml:space="preserve">En las microempresas fronterizas, este efecto se manifiesta de forma notable, ya que la mayoría de los trabajadores migrantes carecen de redes institucionales estabilizadas </w:t>
      </w:r>
      <w:r w:rsidRPr="00893253">
        <w:rPr>
          <w:rFonts w:cs="Times New Roman"/>
          <w:szCs w:val="24"/>
        </w:rPr>
        <w:lastRenderedPageBreak/>
        <w:t>(Portes, 1998), mientras que el “</w:t>
      </w:r>
      <w:proofErr w:type="spellStart"/>
      <w:r w:rsidRPr="00893253">
        <w:rPr>
          <w:rFonts w:cs="Times New Roman"/>
          <w:szCs w:val="24"/>
        </w:rPr>
        <w:t>linking</w:t>
      </w:r>
      <w:proofErr w:type="spellEnd"/>
      <w:r w:rsidRPr="00893253">
        <w:rPr>
          <w:rFonts w:cs="Times New Roman"/>
          <w:szCs w:val="24"/>
        </w:rPr>
        <w:t>” que se produce dentro de la microempresa puede, de forma parcial, compensar esa deficiencia (a través de reglas claras, instrucción o contención). La pertenencia, a la vez, es sustancial para la capital social de tipo “</w:t>
      </w:r>
      <w:proofErr w:type="spellStart"/>
      <w:r w:rsidRPr="00893253">
        <w:rPr>
          <w:rFonts w:cs="Times New Roman"/>
          <w:szCs w:val="24"/>
        </w:rPr>
        <w:t>bonding</w:t>
      </w:r>
      <w:proofErr w:type="spellEnd"/>
      <w:r w:rsidRPr="00893253">
        <w:rPr>
          <w:rFonts w:cs="Times New Roman"/>
          <w:szCs w:val="24"/>
        </w:rPr>
        <w:t xml:space="preserve">” (lo que identifica y homologa las relaciones </w:t>
      </w:r>
      <w:proofErr w:type="spellStart"/>
      <w:r w:rsidRPr="00893253">
        <w:rPr>
          <w:rFonts w:cs="Times New Roman"/>
          <w:szCs w:val="24"/>
        </w:rPr>
        <w:t>intragrupales</w:t>
      </w:r>
      <w:proofErr w:type="spellEnd"/>
      <w:r w:rsidRPr="00893253">
        <w:rPr>
          <w:rFonts w:cs="Times New Roman"/>
          <w:szCs w:val="24"/>
        </w:rPr>
        <w:t xml:space="preserve">) y frente al carácter transitorio de las situaciones de extrema movilidad o bajo las tensiones que pueden establecerse entre la población migrante y la población de acogida, la pertenencia puede actuar como un amortiguador, dado que una misma pertenencia es capaz de estabilizar las identidades laborales, disminuir la rotación y reducir las fricciones interpersonales que afectan al servicio. Sin embargo, el </w:t>
      </w:r>
      <w:proofErr w:type="spellStart"/>
      <w:r w:rsidRPr="00893253">
        <w:rPr>
          <w:rFonts w:cs="Times New Roman"/>
          <w:szCs w:val="24"/>
        </w:rPr>
        <w:t>bonding</w:t>
      </w:r>
      <w:proofErr w:type="spellEnd"/>
      <w:r w:rsidRPr="00893253">
        <w:rPr>
          <w:rFonts w:cs="Times New Roman"/>
          <w:szCs w:val="24"/>
        </w:rPr>
        <w:t xml:space="preserve"> no es suficiente para fundamentar resultados hacia afuera, sino que también el </w:t>
      </w:r>
      <w:proofErr w:type="spellStart"/>
      <w:r w:rsidRPr="00893253">
        <w:rPr>
          <w:rFonts w:cs="Times New Roman"/>
          <w:szCs w:val="24"/>
        </w:rPr>
        <w:t>bonding</w:t>
      </w:r>
      <w:proofErr w:type="spellEnd"/>
      <w:r w:rsidRPr="00893253">
        <w:rPr>
          <w:rFonts w:cs="Times New Roman"/>
          <w:szCs w:val="24"/>
        </w:rPr>
        <w:t xml:space="preserve"> debe estar acompasado con capital social de tipo “</w:t>
      </w:r>
      <w:proofErr w:type="spellStart"/>
      <w:r w:rsidRPr="00893253">
        <w:rPr>
          <w:rFonts w:cs="Times New Roman"/>
          <w:szCs w:val="24"/>
        </w:rPr>
        <w:t>bridging</w:t>
      </w:r>
      <w:proofErr w:type="spellEnd"/>
      <w:r w:rsidRPr="00893253">
        <w:rPr>
          <w:rFonts w:cs="Times New Roman"/>
          <w:szCs w:val="24"/>
        </w:rPr>
        <w:t xml:space="preserve">” (el puente entre los grupos); en este caso, el empoderamiento tiene un papel de puente en este sentido, dado que permite la coordinación de perfiles profesionales distintos, da lugar a un aprendizaje más rápido y favorece, aún con la rotación, que el conocimiento tácito circule. En el lenguaje de </w:t>
      </w:r>
      <w:proofErr w:type="spellStart"/>
      <w:r w:rsidRPr="00893253">
        <w:rPr>
          <w:rFonts w:cs="Times New Roman"/>
          <w:szCs w:val="24"/>
        </w:rPr>
        <w:t>Nahapiet</w:t>
      </w:r>
      <w:proofErr w:type="spellEnd"/>
      <w:r w:rsidRPr="00893253">
        <w:rPr>
          <w:rFonts w:cs="Times New Roman"/>
          <w:szCs w:val="24"/>
        </w:rPr>
        <w:t xml:space="preserve"> y Ghoshal (1998), esto incrementa el capital intelectual organizacional porque permite la combinación e intercambio de conocimiento.</w:t>
      </w:r>
    </w:p>
    <w:p w14:paraId="171ACA4F" w14:textId="77777777" w:rsidR="005734F1" w:rsidRPr="00893253" w:rsidRDefault="005734F1" w:rsidP="000D1D85">
      <w:pPr>
        <w:spacing w:after="0" w:line="360" w:lineRule="auto"/>
        <w:jc w:val="both"/>
        <w:rPr>
          <w:rFonts w:cs="Times New Roman"/>
          <w:szCs w:val="24"/>
        </w:rPr>
      </w:pPr>
    </w:p>
    <w:p w14:paraId="06061AA1" w14:textId="77777777" w:rsidR="00853C91" w:rsidRDefault="00853C91" w:rsidP="000D1D85">
      <w:pPr>
        <w:spacing w:after="0" w:line="360" w:lineRule="auto"/>
        <w:jc w:val="both"/>
        <w:rPr>
          <w:rFonts w:cs="Times New Roman"/>
          <w:szCs w:val="24"/>
        </w:rPr>
      </w:pPr>
      <w:r w:rsidRPr="00893253">
        <w:rPr>
          <w:rFonts w:cs="Times New Roman"/>
          <w:szCs w:val="24"/>
        </w:rPr>
        <w:t xml:space="preserve">La integración de las herramientas digitales debe ser interpretada como una infraestructura de </w:t>
      </w:r>
      <w:proofErr w:type="spellStart"/>
      <w:r w:rsidRPr="00893253">
        <w:rPr>
          <w:rFonts w:cs="Times New Roman"/>
          <w:szCs w:val="24"/>
        </w:rPr>
        <w:t>bridging</w:t>
      </w:r>
      <w:proofErr w:type="spellEnd"/>
      <w:r w:rsidRPr="00893253">
        <w:rPr>
          <w:rFonts w:cs="Times New Roman"/>
          <w:szCs w:val="24"/>
        </w:rPr>
        <w:t>: extiende las redes débiles (clientes, proveedores, canales de pago) y, dentro de unas condiciones que remiten a una menor demanda, logra reducir costes de transacción, relevantes en un contexto de frontera con demandas cambiantes. Cuando el modelo indica que hay correlaciones entre la digitalización y satisfacción del cliente, no argumenta en términos del “uso de redes sociales”, sino que la digitalización frugal permite mantener niveles de confianza y continuidad en la prestación del servicio (rapidez de respuesta, trazabilidad, reputación) aun con limitaciones de capital. Por coherencia, la satisfacción del cliente puede considerarse como exteriorización del capital social que es el indicador donde la red organizacional llega a ser visible en el mercado.</w:t>
      </w:r>
    </w:p>
    <w:p w14:paraId="645F261F" w14:textId="77777777" w:rsidR="007307AA" w:rsidRPr="00893253" w:rsidRDefault="007307AA" w:rsidP="000D1D85">
      <w:pPr>
        <w:spacing w:after="0" w:line="360" w:lineRule="auto"/>
        <w:jc w:val="both"/>
        <w:rPr>
          <w:rFonts w:cs="Times New Roman"/>
          <w:szCs w:val="24"/>
        </w:rPr>
      </w:pPr>
    </w:p>
    <w:p w14:paraId="07475A4C" w14:textId="77777777" w:rsidR="00853C91" w:rsidRPr="00893253" w:rsidRDefault="00853C91" w:rsidP="000D1D85">
      <w:pPr>
        <w:spacing w:after="0" w:line="360" w:lineRule="auto"/>
        <w:jc w:val="both"/>
        <w:rPr>
          <w:rFonts w:cs="Times New Roman"/>
          <w:szCs w:val="24"/>
        </w:rPr>
      </w:pPr>
      <w:r w:rsidRPr="00893253">
        <w:rPr>
          <w:rFonts w:cs="Times New Roman"/>
          <w:szCs w:val="24"/>
        </w:rPr>
        <w:t>Por último, estos resultados dialogan con la evidencia económica sobre la inserción laboral diferenciada entre migrantes y no migrantes - la integración es más difícil para quienes carecen de redes de apoyo en el proceso, y los efectos se concentran en segmentos vulnerables (mujeres, jóvenes y poca calificación) (Bonilla-Mejía, Morales, Hermida-</w:t>
      </w:r>
      <w:r w:rsidRPr="00893253">
        <w:rPr>
          <w:rFonts w:cs="Times New Roman"/>
          <w:szCs w:val="24"/>
        </w:rPr>
        <w:lastRenderedPageBreak/>
        <w:t>Giraldo, &amp; Flórez, 2020). En consecuencia, el (doble) aporte de la investigación no consiste en afirmar que "el bienestar es importante", sino en mostrar que, en frontera, la salud organizacional funciona como mecanismo de capital social que podría reducir las fricciones de la inserción e ir sosteniendo los resultados de negocio con efectos colaterales humanitarios.</w:t>
      </w:r>
    </w:p>
    <w:p w14:paraId="15587049" w14:textId="77777777" w:rsidR="00284886" w:rsidRPr="00893253" w:rsidRDefault="00284886" w:rsidP="000D1D85">
      <w:pPr>
        <w:spacing w:after="0" w:line="360" w:lineRule="auto"/>
        <w:jc w:val="both"/>
        <w:rPr>
          <w:rFonts w:cs="Times New Roman"/>
          <w:szCs w:val="24"/>
        </w:rPr>
      </w:pPr>
    </w:p>
    <w:p w14:paraId="6E602F13" w14:textId="470758A4" w:rsidR="00502126" w:rsidRPr="00893253" w:rsidRDefault="00502126" w:rsidP="000D1D85">
      <w:pPr>
        <w:spacing w:after="0" w:line="360" w:lineRule="auto"/>
        <w:jc w:val="both"/>
        <w:rPr>
          <w:rFonts w:cs="Times New Roman"/>
          <w:szCs w:val="24"/>
        </w:rPr>
      </w:pPr>
      <w:r w:rsidRPr="00893253">
        <w:rPr>
          <w:rFonts w:cs="Times New Roman"/>
          <w:szCs w:val="24"/>
        </w:rPr>
        <w:t>En el</w:t>
      </w:r>
      <w:r w:rsidR="00546D17" w:rsidRPr="00893253">
        <w:rPr>
          <w:rFonts w:cs="Times New Roman"/>
          <w:szCs w:val="24"/>
        </w:rPr>
        <w:t xml:space="preserve"> plano</w:t>
      </w:r>
      <w:r w:rsidRPr="00893253">
        <w:rPr>
          <w:rFonts w:cs="Times New Roman"/>
          <w:szCs w:val="24"/>
        </w:rPr>
        <w:t xml:space="preserve"> estructural, la variable empoderamiento del personal (SP1) se manifiesta como el mecanismo central de mediación entre las prácticas de las organizaciones saludables y la satisfacción del cliente (RO2), dado el tamaño y significatividad de la relación anteriormente mencionada, que sugiere que el empoderamiento, en microempresas de frontera, constituye no solo una práctica de recursos humanos, sino que también, al ser entendida como tal, se erige como un recurso estratégico de resiliencia organizacional. Esto enriquece, a su vez, la lógica del Job </w:t>
      </w:r>
      <w:proofErr w:type="spellStart"/>
      <w:r w:rsidRPr="00893253">
        <w:rPr>
          <w:rFonts w:cs="Times New Roman"/>
          <w:szCs w:val="24"/>
        </w:rPr>
        <w:t>Demands-Ressources</w:t>
      </w:r>
      <w:proofErr w:type="spellEnd"/>
      <w:r w:rsidRPr="00893253">
        <w:rPr>
          <w:rFonts w:cs="Times New Roman"/>
          <w:szCs w:val="24"/>
        </w:rPr>
        <w:t xml:space="preserve"> (JD-R) al mostrar que, en condiciones de elevada precariedad, los recursos laborales cobran un peso relativo superior frente a los recursos </w:t>
      </w:r>
      <w:r w:rsidR="004C2255" w:rsidRPr="00893253">
        <w:rPr>
          <w:rFonts w:cs="Times New Roman"/>
          <w:szCs w:val="24"/>
        </w:rPr>
        <w:t xml:space="preserve">materiales (Bakker &amp; </w:t>
      </w:r>
      <w:proofErr w:type="spellStart"/>
      <w:r w:rsidR="004C2255" w:rsidRPr="00893253">
        <w:rPr>
          <w:rFonts w:cs="Times New Roman"/>
          <w:szCs w:val="24"/>
        </w:rPr>
        <w:t>Demerouti</w:t>
      </w:r>
      <w:proofErr w:type="spellEnd"/>
      <w:r w:rsidR="004C2255" w:rsidRPr="00893253">
        <w:rPr>
          <w:rFonts w:cs="Times New Roman"/>
          <w:szCs w:val="24"/>
        </w:rPr>
        <w:t>, 2017)</w:t>
      </w:r>
      <w:r w:rsidRPr="00893253">
        <w:rPr>
          <w:rFonts w:cs="Times New Roman"/>
          <w:szCs w:val="24"/>
        </w:rPr>
        <w:t>.</w:t>
      </w:r>
    </w:p>
    <w:p w14:paraId="32C374DD" w14:textId="77777777" w:rsidR="00502126" w:rsidRPr="00893253" w:rsidRDefault="00502126" w:rsidP="000D1D85">
      <w:pPr>
        <w:spacing w:after="0" w:line="360" w:lineRule="auto"/>
        <w:jc w:val="both"/>
        <w:rPr>
          <w:rFonts w:cs="Times New Roman"/>
          <w:szCs w:val="24"/>
        </w:rPr>
      </w:pPr>
    </w:p>
    <w:p w14:paraId="472110BD" w14:textId="647F26AD" w:rsidR="00284886" w:rsidRPr="00893253" w:rsidRDefault="00502126" w:rsidP="000D1D85">
      <w:pPr>
        <w:spacing w:after="0" w:line="360" w:lineRule="auto"/>
        <w:jc w:val="both"/>
        <w:rPr>
          <w:rFonts w:cs="Times New Roman"/>
          <w:szCs w:val="24"/>
        </w:rPr>
      </w:pPr>
      <w:r w:rsidRPr="00893253">
        <w:rPr>
          <w:rFonts w:cs="Times New Roman"/>
          <w:szCs w:val="24"/>
        </w:rPr>
        <w:t>Desde la vertiente humanitaria, el empoderamiento puede considerarse un dispositivo micro</w:t>
      </w:r>
      <w:r w:rsidR="00AA60C0" w:rsidRPr="00893253">
        <w:rPr>
          <w:rFonts w:cs="Times New Roman"/>
          <w:szCs w:val="24"/>
        </w:rPr>
        <w:t xml:space="preserve"> </w:t>
      </w:r>
      <w:r w:rsidRPr="00893253">
        <w:rPr>
          <w:rFonts w:cs="Times New Roman"/>
          <w:szCs w:val="24"/>
        </w:rPr>
        <w:t>institucional que refuerza la agencia laboral de los trabajadores que tal vez estén expuestos a trayectorias de vulnerabilidad.</w:t>
      </w:r>
      <w:r w:rsidR="00AA60C0" w:rsidRPr="00893253">
        <w:rPr>
          <w:rFonts w:cs="Times New Roman"/>
          <w:szCs w:val="24"/>
        </w:rPr>
        <w:t xml:space="preserve"> </w:t>
      </w:r>
      <w:r w:rsidRPr="00893253">
        <w:rPr>
          <w:rFonts w:cs="Times New Roman"/>
          <w:szCs w:val="24"/>
        </w:rPr>
        <w:t xml:space="preserve">El compromiso de la dirección (SP2), en tanto mostró un efecto sólido sobre el empoderamiento del personal lo que confirma el papel estructurante que tiene el liderazgo para establecer ambientes saludables, el aporte de este estudio va más allá de la confirmación teórica ya que también muestra que en microempresas de frontera el compromiso de la dirección puede ser observado como un mecanismo de gobernanza organizacional informal que viene a compensar debilidades institucionales externas, lectura que en territorios en los que las microempresas absorben mano de obra migrante y poseen escasos apoyos estatales, muestra su relevancia. En consecuencia, puede ser que el liderazgo saludable esté cumpliendo funciones simultáneamente productivas y de contención </w:t>
      </w:r>
      <w:proofErr w:type="gramStart"/>
      <w:r w:rsidRPr="00893253">
        <w:rPr>
          <w:rFonts w:cs="Times New Roman"/>
          <w:szCs w:val="24"/>
        </w:rPr>
        <w:t>socio-laboral</w:t>
      </w:r>
      <w:proofErr w:type="gramEnd"/>
      <w:r w:rsidRPr="00893253">
        <w:rPr>
          <w:rFonts w:cs="Times New Roman"/>
          <w:szCs w:val="24"/>
        </w:rPr>
        <w:t>.</w:t>
      </w:r>
    </w:p>
    <w:p w14:paraId="3CE55D2F" w14:textId="77777777" w:rsidR="00502126" w:rsidRPr="00893253" w:rsidRDefault="00502126" w:rsidP="000D1D85">
      <w:pPr>
        <w:spacing w:after="0" w:line="360" w:lineRule="auto"/>
        <w:jc w:val="both"/>
        <w:rPr>
          <w:rFonts w:cs="Times New Roman"/>
          <w:szCs w:val="24"/>
        </w:rPr>
      </w:pPr>
    </w:p>
    <w:p w14:paraId="704B9716" w14:textId="7208009F" w:rsidR="00B6776E" w:rsidRPr="00893253" w:rsidRDefault="00502126" w:rsidP="000D1D85">
      <w:pPr>
        <w:spacing w:after="0" w:line="360" w:lineRule="auto"/>
        <w:jc w:val="both"/>
        <w:rPr>
          <w:rFonts w:cs="Times New Roman"/>
          <w:szCs w:val="24"/>
        </w:rPr>
      </w:pPr>
      <w:r w:rsidRPr="00893253">
        <w:rPr>
          <w:rFonts w:cs="Times New Roman"/>
          <w:szCs w:val="24"/>
        </w:rPr>
        <w:t xml:space="preserve">De forma complementaria, el sentido de pertenencia (SP3) es un predictor significativo del empoderamiento, lo que refuerza la centralidad de los procesos identitarios en </w:t>
      </w:r>
      <w:r w:rsidRPr="00893253">
        <w:rPr>
          <w:rFonts w:cs="Times New Roman"/>
          <w:szCs w:val="24"/>
        </w:rPr>
        <w:lastRenderedPageBreak/>
        <w:t xml:space="preserve">organizaciones de menor escala. Sin embargo, el contexto analizado aporta un matiz interpretativo adicional: en territorios caracterizados por una movilidad humana forzosa, la pertenencia organizacional se presenta como un elemento de encuadramiento psicosocial para personas trabajadoras en situación de vulnerabilidad. De esta forma, el modelo HERO no solo explica dinámicas de desempeño, sino que también permite capturar </w:t>
      </w:r>
      <w:proofErr w:type="spellStart"/>
      <w:r w:rsidRPr="00893253">
        <w:rPr>
          <w:rFonts w:cs="Times New Roman"/>
          <w:szCs w:val="24"/>
        </w:rPr>
        <w:t>micro-procesos</w:t>
      </w:r>
      <w:proofErr w:type="spellEnd"/>
      <w:r w:rsidRPr="00893253">
        <w:rPr>
          <w:rFonts w:cs="Times New Roman"/>
          <w:szCs w:val="24"/>
        </w:rPr>
        <w:t xml:space="preserve"> de cohesión, los cuales a su vez pueden influir, indirectamente, en la calidad de vida laboral. Investigaciones futuras deberían explorar explícitamente estas interacciones entre salud organizacional e inclusión socioeconómica. (González y Martines, 2019)</w:t>
      </w:r>
    </w:p>
    <w:p w14:paraId="1EF01A16" w14:textId="77777777" w:rsidR="007075B7" w:rsidRPr="00893253" w:rsidRDefault="007075B7" w:rsidP="000D1D85">
      <w:pPr>
        <w:spacing w:after="0" w:line="360" w:lineRule="auto"/>
        <w:jc w:val="both"/>
        <w:rPr>
          <w:rFonts w:cs="Times New Roman"/>
          <w:szCs w:val="24"/>
        </w:rPr>
      </w:pPr>
    </w:p>
    <w:p w14:paraId="7C257177" w14:textId="2FDD157B" w:rsidR="00B6776E" w:rsidRPr="00893253" w:rsidRDefault="00284886" w:rsidP="000D1D85">
      <w:pPr>
        <w:spacing w:after="0" w:line="360" w:lineRule="auto"/>
        <w:jc w:val="both"/>
        <w:rPr>
          <w:rFonts w:cs="Times New Roman"/>
          <w:szCs w:val="24"/>
        </w:rPr>
      </w:pPr>
      <w:r w:rsidRPr="00893253">
        <w:rPr>
          <w:rFonts w:cs="Times New Roman"/>
          <w:szCs w:val="24"/>
        </w:rPr>
        <w:t xml:space="preserve">En el frente digital, el efecto significativo del apoyo gerencial durante la pandemia (POS1) sobre la adopción de nuevas herramientas (RO3) confirma que la transformación digital en microempresas es fundamentalmente un proceso socio-organizacional antes que puramente tecnológico. Este hallazgo dialoga con la literatura emergente sobre digitalización frugal, mostrando que incluso en contextos de alta restricción de recursos es posible observar trayectorias de adopción tecnológica cuando existe acompañamiento directivo. Para territorios de frontera, donde las discontinuidades del mercado son frecuentes, esta capacidad adaptativa constituye un componente clave de resiliencia empresarial </w:t>
      </w:r>
      <w:r w:rsidR="00B6776E" w:rsidRPr="00893253">
        <w:rPr>
          <w:rFonts w:cs="Times New Roman"/>
          <w:szCs w:val="24"/>
        </w:rPr>
        <w:t>(B</w:t>
      </w:r>
      <w:r w:rsidR="002364FC" w:rsidRPr="00893253">
        <w:rPr>
          <w:rFonts w:cs="Times New Roman"/>
          <w:szCs w:val="24"/>
        </w:rPr>
        <w:t xml:space="preserve">onilla </w:t>
      </w:r>
      <w:r w:rsidR="00B6776E" w:rsidRPr="00893253">
        <w:rPr>
          <w:rFonts w:cs="Times New Roman"/>
          <w:szCs w:val="24"/>
        </w:rPr>
        <w:t>et al., 202</w:t>
      </w:r>
      <w:r w:rsidR="002364FC" w:rsidRPr="00893253">
        <w:rPr>
          <w:rFonts w:cs="Times New Roman"/>
          <w:szCs w:val="24"/>
        </w:rPr>
        <w:t>0</w:t>
      </w:r>
      <w:r w:rsidR="00B6776E" w:rsidRPr="00893253">
        <w:rPr>
          <w:rFonts w:cs="Times New Roman"/>
          <w:szCs w:val="24"/>
        </w:rPr>
        <w:t>)</w:t>
      </w:r>
      <w:r w:rsidRPr="00893253">
        <w:rPr>
          <w:rFonts w:cs="Times New Roman"/>
          <w:szCs w:val="24"/>
        </w:rPr>
        <w:t>.</w:t>
      </w:r>
    </w:p>
    <w:p w14:paraId="5C38E1F3" w14:textId="77777777" w:rsidR="00AA60C0" w:rsidRPr="00893253" w:rsidRDefault="00AA60C0" w:rsidP="000D1D85">
      <w:pPr>
        <w:spacing w:after="0" w:line="360" w:lineRule="auto"/>
        <w:jc w:val="both"/>
        <w:rPr>
          <w:rFonts w:cs="Times New Roman"/>
          <w:szCs w:val="24"/>
        </w:rPr>
      </w:pPr>
    </w:p>
    <w:p w14:paraId="409F638D" w14:textId="77777777" w:rsidR="00546D17" w:rsidRDefault="00546D17" w:rsidP="000D1D85">
      <w:pPr>
        <w:spacing w:after="0" w:line="360" w:lineRule="auto"/>
        <w:jc w:val="both"/>
        <w:rPr>
          <w:rFonts w:cs="Times New Roman"/>
          <w:szCs w:val="24"/>
        </w:rPr>
      </w:pPr>
      <w:r w:rsidRPr="00893253">
        <w:rPr>
          <w:rFonts w:cs="Times New Roman"/>
          <w:szCs w:val="24"/>
        </w:rPr>
        <w:t xml:space="preserve">De forma análoga, la relación positiva que se establece entre el uso de redes sociales (RO1) y la satisfacción del cliente expresa también dinámicas de apropiación tecnológica de tipo pragmático; las microempresas que han sido objeto del análisis muestran la aplicación de formas de innovación incremental basada en la utilización de plataformas de fácil acceso que subsisten de forma parcial déficits </w:t>
      </w:r>
      <w:proofErr w:type="gramStart"/>
      <w:r w:rsidRPr="00893253">
        <w:rPr>
          <w:rFonts w:cs="Times New Roman"/>
          <w:szCs w:val="24"/>
        </w:rPr>
        <w:t>en relación a</w:t>
      </w:r>
      <w:proofErr w:type="gramEnd"/>
      <w:r w:rsidRPr="00893253">
        <w:rPr>
          <w:rFonts w:cs="Times New Roman"/>
          <w:szCs w:val="24"/>
        </w:rPr>
        <w:t xml:space="preserve"> infraestructuras comerciales de carácter formal. Resulta interesante este hallazgo, pues otorga peso a la literatura sobre transformación digital en economías emergentes al evidenciar que la creación de valor digital puede surgir desde la periferia organizacional y no necesariamente desde procesos de sofisticación tecnológica alta.</w:t>
      </w:r>
    </w:p>
    <w:p w14:paraId="71872A6D" w14:textId="77777777" w:rsidR="007307AA" w:rsidRPr="00893253" w:rsidRDefault="007307AA" w:rsidP="000D1D85">
      <w:pPr>
        <w:spacing w:after="0" w:line="360" w:lineRule="auto"/>
        <w:jc w:val="both"/>
        <w:rPr>
          <w:rFonts w:cs="Times New Roman"/>
          <w:szCs w:val="24"/>
        </w:rPr>
      </w:pPr>
    </w:p>
    <w:p w14:paraId="5E2D7C87" w14:textId="3DBAE3C0" w:rsidR="00905240" w:rsidRPr="00893253" w:rsidRDefault="00546D17" w:rsidP="000D1D85">
      <w:pPr>
        <w:spacing w:after="0" w:line="360" w:lineRule="auto"/>
        <w:jc w:val="both"/>
        <w:rPr>
          <w:rFonts w:cs="Times New Roman"/>
          <w:szCs w:val="24"/>
        </w:rPr>
      </w:pPr>
      <w:r w:rsidRPr="00893253">
        <w:rPr>
          <w:rFonts w:cs="Times New Roman"/>
          <w:szCs w:val="24"/>
        </w:rPr>
        <w:t xml:space="preserve">Resultando en un sentido integrador, pero no de forma exclusiva, la satisfacción del cliente (RO2) fue explicada de forma significativa por el conjunto de los recursos organizacionales </w:t>
      </w:r>
      <w:r w:rsidRPr="00893253">
        <w:rPr>
          <w:rFonts w:cs="Times New Roman"/>
          <w:szCs w:val="24"/>
        </w:rPr>
        <w:lastRenderedPageBreak/>
        <w:t>y digitales del modelo, lo que refuerza la capacidad predictiva del enfoque HERO en contextos humanitarios complejos. Ahora bien, el resultado más relevante de la presente investigación no solo es confirmatorio sino también contextual-expansivo, ya que los hallazgos de la investigación sugieren que las organizaciones saludables pueden ser vistas también como micro infraestructuras de estabilidad socioeconómica en territorios de frontera, lo que permite levantar una agenda de investigación que conecta la psicología positiva de las organizaciones con los estudios de desarrollo territorial y migración.</w:t>
      </w:r>
    </w:p>
    <w:p w14:paraId="75B96A51" w14:textId="77777777" w:rsidR="00546D17" w:rsidRPr="00893253" w:rsidRDefault="00546D17" w:rsidP="000D1D85">
      <w:pPr>
        <w:spacing w:after="0" w:line="360" w:lineRule="auto"/>
        <w:jc w:val="both"/>
        <w:rPr>
          <w:rFonts w:cs="Times New Roman"/>
          <w:szCs w:val="24"/>
        </w:rPr>
      </w:pPr>
    </w:p>
    <w:p w14:paraId="38FA200E" w14:textId="2679D360" w:rsidR="00905240" w:rsidRPr="00893253" w:rsidRDefault="00546D17" w:rsidP="000D1D85">
      <w:pPr>
        <w:spacing w:after="0" w:line="360" w:lineRule="auto"/>
        <w:jc w:val="both"/>
        <w:rPr>
          <w:rFonts w:cs="Times New Roman"/>
          <w:szCs w:val="24"/>
        </w:rPr>
      </w:pPr>
      <w:r w:rsidRPr="00893253">
        <w:rPr>
          <w:rFonts w:cs="Times New Roman"/>
          <w:szCs w:val="24"/>
        </w:rPr>
        <w:t xml:space="preserve">Desde el punto de vista de la política pública, la evidencia comparada pone de manifiesto que los programas de fortalecimiento de microempresas en contextos de frontera no deberían ahorrar esfuerzos en enfoques que atañen </w:t>
      </w:r>
      <w:proofErr w:type="spellStart"/>
      <w:r w:rsidRPr="00893253">
        <w:rPr>
          <w:rFonts w:cs="Times New Roman"/>
          <w:szCs w:val="24"/>
        </w:rPr>
        <w:t>sólamente</w:t>
      </w:r>
      <w:proofErr w:type="spellEnd"/>
      <w:r w:rsidRPr="00893253">
        <w:rPr>
          <w:rFonts w:cs="Times New Roman"/>
          <w:szCs w:val="24"/>
        </w:rPr>
        <w:t xml:space="preserve"> a las aristas del financiamiento o de la formalización. Al igual que la literatura internacional de resiliencia en pymes, aunque también incorporando la especificidad del contexto humanitario, los resultados apuntan hacia la necesidad de programas más integrales de tipo </w:t>
      </w:r>
      <w:proofErr w:type="gramStart"/>
      <w:r w:rsidRPr="00893253">
        <w:rPr>
          <w:rFonts w:cs="Times New Roman"/>
          <w:szCs w:val="24"/>
        </w:rPr>
        <w:t>bien-estar</w:t>
      </w:r>
      <w:proofErr w:type="gramEnd"/>
      <w:r w:rsidRPr="00893253">
        <w:rPr>
          <w:rFonts w:cs="Times New Roman"/>
          <w:szCs w:val="24"/>
        </w:rPr>
        <w:t xml:space="preserve"> organizacional, liderazgo saludable, inclusión laboral y capacidades digitales. Así, en conjunto, esta investigación no solo valida las teorías de las formulaciones del modelo HERO, sino que también plantea una lectura crítica y contextualizada, que ayuda a la internacionalización de la evidencia, desde una perspectiva sur-global. Como argumento adicional, el estudio responde a la cada vez más solicitada necesidad de marcos explicativos contextualizados y contribuye al posicionamiento de las microempresas de frontera como un laboratorio de práctica significativa para el avance teórico desde la propuesta de organizaciones saludables y resilientes.</w:t>
      </w:r>
    </w:p>
    <w:p w14:paraId="0F5A9813" w14:textId="77777777" w:rsidR="00546D17" w:rsidRPr="00893253" w:rsidRDefault="00546D17" w:rsidP="000D1D85">
      <w:pPr>
        <w:spacing w:after="0" w:line="360" w:lineRule="auto"/>
        <w:jc w:val="both"/>
        <w:rPr>
          <w:rFonts w:cs="Times New Roman"/>
          <w:szCs w:val="24"/>
        </w:rPr>
      </w:pPr>
    </w:p>
    <w:p w14:paraId="34D31F7C" w14:textId="4FD744E9" w:rsidR="00B6776E" w:rsidRPr="005C63E5" w:rsidRDefault="007307AA" w:rsidP="005C63E5">
      <w:pPr>
        <w:pStyle w:val="Prrafodelista"/>
        <w:numPr>
          <w:ilvl w:val="0"/>
          <w:numId w:val="22"/>
        </w:numPr>
        <w:spacing w:after="0" w:line="360" w:lineRule="auto"/>
        <w:jc w:val="both"/>
        <w:rPr>
          <w:rFonts w:cs="Times New Roman"/>
          <w:b/>
          <w:bCs/>
          <w:szCs w:val="24"/>
        </w:rPr>
      </w:pPr>
      <w:r w:rsidRPr="005C63E5">
        <w:rPr>
          <w:rFonts w:cs="Times New Roman"/>
          <w:b/>
          <w:bCs/>
          <w:szCs w:val="24"/>
        </w:rPr>
        <w:t>CONCLUSIONES</w:t>
      </w:r>
    </w:p>
    <w:p w14:paraId="0E54D61C" w14:textId="13204814" w:rsidR="007307AA" w:rsidRPr="007307AA" w:rsidRDefault="007307AA" w:rsidP="007307AA">
      <w:pPr>
        <w:spacing w:after="0" w:line="360" w:lineRule="auto"/>
        <w:ind w:left="360"/>
        <w:jc w:val="both"/>
        <w:rPr>
          <w:rFonts w:cs="Times New Roman"/>
          <w:b/>
          <w:bCs/>
          <w:szCs w:val="24"/>
        </w:rPr>
      </w:pPr>
    </w:p>
    <w:p w14:paraId="3D0F79DB" w14:textId="7E939704" w:rsidR="00546D17" w:rsidRPr="00893253" w:rsidRDefault="00546D17" w:rsidP="000D1D85">
      <w:pPr>
        <w:spacing w:after="0" w:line="360" w:lineRule="auto"/>
        <w:jc w:val="both"/>
        <w:rPr>
          <w:rFonts w:cs="Times New Roman"/>
          <w:szCs w:val="24"/>
        </w:rPr>
      </w:pPr>
      <w:r w:rsidRPr="00893253">
        <w:rPr>
          <w:rFonts w:cs="Times New Roman"/>
          <w:szCs w:val="24"/>
        </w:rPr>
        <w:t xml:space="preserve">Este trabajo validó el modelo HERO en microempresas de la localidad de Villa del Rosario. Se demostró que el liderazgo saludable y el compromiso por parte de la alta dirección facilitan el empoderamiento y se relacionan con resultados organizacionales, que la pertenecía refuerza la cohesión necesaria para operar en contextos de movilidad y de presión social. Así, interpretado desde el Capital Social, el eje central es que la salud organizacional sirve como tecnología relacional que produce confianza, normas y redes </w:t>
      </w:r>
      <w:r w:rsidRPr="00893253">
        <w:rPr>
          <w:rFonts w:cs="Times New Roman"/>
          <w:szCs w:val="24"/>
        </w:rPr>
        <w:lastRenderedPageBreak/>
        <w:t>útiles para coordinar trabajo y servicio en un microespacio que constriñe, en contextos en donde la informalidad y la incertidumbre son constitutivas de ellos. Esto es especialmente relevante en frontera, dado que la evidencia institucional menciona un conjunto importante de vulnerabilidades asociadas a la pobreza, a la separación familiar, a la violencia intrafamiliar y a las barreras de acceso a servicios (OIM, 2024). En esta línea, fortalecer prácticas HERO no es un acto superficial, es un instrumento de organización productiva, con externalidades sociales que le pueden ser anexadas.</w:t>
      </w:r>
    </w:p>
    <w:p w14:paraId="760C38A2" w14:textId="77777777" w:rsidR="00546D17" w:rsidRPr="00893253" w:rsidRDefault="00546D17" w:rsidP="000D1D85">
      <w:pPr>
        <w:spacing w:after="0" w:line="360" w:lineRule="auto"/>
        <w:jc w:val="both"/>
        <w:rPr>
          <w:rFonts w:cs="Times New Roman"/>
          <w:szCs w:val="24"/>
        </w:rPr>
      </w:pPr>
    </w:p>
    <w:p w14:paraId="48BD0391" w14:textId="77777777" w:rsidR="00D10040" w:rsidRPr="00893253" w:rsidRDefault="00D10040" w:rsidP="000D1D85">
      <w:pPr>
        <w:spacing w:after="0" w:line="360" w:lineRule="auto"/>
        <w:jc w:val="both"/>
        <w:rPr>
          <w:rFonts w:cs="Times New Roman"/>
          <w:szCs w:val="24"/>
        </w:rPr>
      </w:pPr>
      <w:r w:rsidRPr="00893253">
        <w:rPr>
          <w:rFonts w:cs="Times New Roman"/>
          <w:szCs w:val="24"/>
        </w:rPr>
        <w:t xml:space="preserve">Implicaciones humanitarias. En territorios donde el corredor Cúcuta–Villa del Rosario tiene relación con trayectorias familiares que denotan la estabilización en el empleo microempresarial se relaciona con continuidad en la escolaridad, capacidad de cuidado y acceso a salud. Las pruebas en la presión de servicios de urgencia y consultas o tratamientos médicos, y la brecha de regularidad migratoria en matrícula escolar muestra que la integración ocurre bajo gran vulnerabilidad (OIM, 2024). Por ello, una microempresa que disminuye la rotación de personas </w:t>
      </w:r>
      <w:proofErr w:type="gramStart"/>
      <w:r w:rsidRPr="00893253">
        <w:rPr>
          <w:rFonts w:cs="Times New Roman"/>
          <w:szCs w:val="24"/>
        </w:rPr>
        <w:t>empleadas,</w:t>
      </w:r>
      <w:proofErr w:type="gramEnd"/>
      <w:r w:rsidRPr="00893253">
        <w:rPr>
          <w:rFonts w:cs="Times New Roman"/>
          <w:szCs w:val="24"/>
        </w:rPr>
        <w:t xml:space="preserve"> mejora el trato y mantiene ingresos regulares contribuye a disminuir la exposición a riesgos: trabajo precario, estrés crónico, violencia intrafamiliar y abandono escolar. Así entonces, la agenda de organizaciones saludables en frontera se puede pensar como una agenda de resiliencia socioeconómica que permite medir el impacto humanitario.</w:t>
      </w:r>
    </w:p>
    <w:p w14:paraId="7B8C0C8A" w14:textId="77777777" w:rsidR="00D10040" w:rsidRPr="00893253" w:rsidRDefault="00D10040" w:rsidP="000D1D85">
      <w:pPr>
        <w:spacing w:after="0" w:line="360" w:lineRule="auto"/>
        <w:jc w:val="both"/>
        <w:rPr>
          <w:rFonts w:cs="Times New Roman"/>
          <w:szCs w:val="24"/>
        </w:rPr>
      </w:pPr>
    </w:p>
    <w:p w14:paraId="755D7B2B" w14:textId="293877B5" w:rsidR="00B6776E" w:rsidRPr="00873098" w:rsidRDefault="00B6776E" w:rsidP="00873098">
      <w:pPr>
        <w:spacing w:line="360" w:lineRule="auto"/>
        <w:jc w:val="both"/>
        <w:rPr>
          <w:rFonts w:cs="Times New Roman"/>
          <w:b/>
          <w:bCs/>
          <w:szCs w:val="24"/>
        </w:rPr>
      </w:pPr>
      <w:r w:rsidRPr="00873098">
        <w:rPr>
          <w:rFonts w:cs="Times New Roman"/>
          <w:b/>
          <w:bCs/>
          <w:szCs w:val="24"/>
        </w:rPr>
        <w:t>Recomendaciones</w:t>
      </w:r>
    </w:p>
    <w:p w14:paraId="48FC92A7" w14:textId="6ECF775F" w:rsidR="00D10040" w:rsidRPr="005C63E5" w:rsidRDefault="00D10040" w:rsidP="000D1D85">
      <w:pPr>
        <w:spacing w:after="0" w:line="360" w:lineRule="auto"/>
        <w:jc w:val="both"/>
        <w:rPr>
          <w:rFonts w:cs="Times New Roman"/>
          <w:b/>
          <w:bCs/>
          <w:i/>
          <w:iCs/>
          <w:szCs w:val="24"/>
        </w:rPr>
      </w:pPr>
      <w:r w:rsidRPr="005C63E5">
        <w:rPr>
          <w:rFonts w:cs="Times New Roman"/>
          <w:b/>
          <w:bCs/>
          <w:i/>
          <w:iCs/>
          <w:szCs w:val="24"/>
        </w:rPr>
        <w:t>Recomendaciones para organizaciones HERO-Frontera</w:t>
      </w:r>
    </w:p>
    <w:p w14:paraId="4BE7CCB7" w14:textId="77777777" w:rsidR="00873098" w:rsidRPr="00893253" w:rsidRDefault="00873098" w:rsidP="000D1D85">
      <w:pPr>
        <w:spacing w:after="0" w:line="360" w:lineRule="auto"/>
        <w:jc w:val="both"/>
        <w:rPr>
          <w:rFonts w:cs="Times New Roman"/>
          <w:szCs w:val="24"/>
        </w:rPr>
      </w:pPr>
    </w:p>
    <w:p w14:paraId="055DDBBC" w14:textId="55C3BF8A" w:rsidR="00EE222A" w:rsidRPr="00893253" w:rsidRDefault="00D10040" w:rsidP="000D1D85">
      <w:pPr>
        <w:spacing w:after="0" w:line="360" w:lineRule="auto"/>
        <w:jc w:val="both"/>
        <w:rPr>
          <w:rFonts w:cs="Times New Roman"/>
          <w:szCs w:val="24"/>
        </w:rPr>
      </w:pPr>
      <w:r w:rsidRPr="00893253">
        <w:rPr>
          <w:rFonts w:cs="Times New Roman"/>
          <w:szCs w:val="24"/>
        </w:rPr>
        <w:t xml:space="preserve">(1) Arquitectura mínima de confianza HERO-Lite: establecer "ritual semanal" de 10–15 minutos de 3 indicadores: carga percibida, fricción de equipo, capacidad operativa, con una regla explícita de reciprocidad (qué tipo de apoyo se activa cuando el indicador supera cierto umbral). La novedad no está en medir, sino en convertir microdatos en decisiones: redistribución de tareas mediante reuniones de horario fijo, interrupciones mediante pausas activas, acuerdos de trato, y el cambio de los conflictos que deterioran el servicio;  (2) Inclusión laboral sensible a la movilidad humana (no filantropía): plantear una ruta de contratación segura, normalizar pagos transparentes, prevenir explotación, considerar </w:t>
      </w:r>
      <w:r w:rsidRPr="00893253">
        <w:rPr>
          <w:rFonts w:cs="Times New Roman"/>
          <w:szCs w:val="24"/>
        </w:rPr>
        <w:lastRenderedPageBreak/>
        <w:t xml:space="preserve">horarios amables con el cuidado familiar; acompañarlo por un sistema de </w:t>
      </w:r>
      <w:proofErr w:type="spellStart"/>
      <w:r w:rsidRPr="00893253">
        <w:rPr>
          <w:rFonts w:cs="Times New Roman"/>
          <w:szCs w:val="24"/>
        </w:rPr>
        <w:t>mentoring</w:t>
      </w:r>
      <w:proofErr w:type="spellEnd"/>
      <w:r w:rsidRPr="00893253">
        <w:rPr>
          <w:rFonts w:cs="Times New Roman"/>
          <w:szCs w:val="24"/>
        </w:rPr>
        <w:t xml:space="preserve"> durante 2 semanas que acelere el aprendizaje y reduzca la rotación. En frontera, sirve de capital social </w:t>
      </w:r>
      <w:proofErr w:type="spellStart"/>
      <w:r w:rsidRPr="00893253">
        <w:rPr>
          <w:rFonts w:cs="Times New Roman"/>
          <w:szCs w:val="24"/>
        </w:rPr>
        <w:t>linking</w:t>
      </w:r>
      <w:proofErr w:type="spellEnd"/>
      <w:r w:rsidRPr="00893253">
        <w:rPr>
          <w:rFonts w:cs="Times New Roman"/>
          <w:szCs w:val="24"/>
        </w:rPr>
        <w:t xml:space="preserve">: acceso a orientación y reglas de </w:t>
      </w:r>
      <w:proofErr w:type="spellStart"/>
      <w:proofErr w:type="gramStart"/>
      <w:r w:rsidRPr="00893253">
        <w:rPr>
          <w:rFonts w:cs="Times New Roman"/>
          <w:szCs w:val="24"/>
        </w:rPr>
        <w:t>protección;</w:t>
      </w:r>
      <w:r w:rsidR="00873098">
        <w:rPr>
          <w:rFonts w:cs="Times New Roman"/>
          <w:szCs w:val="24"/>
        </w:rPr>
        <w:t>N</w:t>
      </w:r>
      <w:proofErr w:type="spellEnd"/>
      <w:proofErr w:type="gramEnd"/>
      <w:r w:rsidR="00873098">
        <w:rPr>
          <w:rFonts w:cs="Times New Roman"/>
          <w:szCs w:val="24"/>
        </w:rPr>
        <w:t xml:space="preserve"> </w:t>
      </w:r>
      <w:r w:rsidRPr="00893253">
        <w:rPr>
          <w:rFonts w:cs="Times New Roman"/>
          <w:szCs w:val="24"/>
        </w:rPr>
        <w:t>(3) Digitalización frugal: "kit de ventas resilientes" (WhatsApp Business, catálogo, medios de pago, registro mínimo de clientes); entrena</w:t>
      </w:r>
      <w:r w:rsidR="00EE222A" w:rsidRPr="00893253">
        <w:rPr>
          <w:rFonts w:cs="Times New Roman"/>
          <w:szCs w:val="24"/>
        </w:rPr>
        <w:t>r</w:t>
      </w:r>
      <w:r w:rsidRPr="00893253">
        <w:rPr>
          <w:rFonts w:cs="Times New Roman"/>
          <w:szCs w:val="24"/>
        </w:rPr>
        <w:t xml:space="preserve"> por </w:t>
      </w:r>
      <w:proofErr w:type="spellStart"/>
      <w:r w:rsidRPr="00893253">
        <w:rPr>
          <w:rFonts w:cs="Times New Roman"/>
          <w:szCs w:val="24"/>
        </w:rPr>
        <w:t>microtareas</w:t>
      </w:r>
      <w:proofErr w:type="spellEnd"/>
      <w:r w:rsidRPr="00893253">
        <w:rPr>
          <w:rFonts w:cs="Times New Roman"/>
          <w:szCs w:val="24"/>
        </w:rPr>
        <w:t xml:space="preserve"> mensurables (uso semanal, y no asistir a la capacitación); la digitalización se controla por trazabilidad, respuesta al cliente y recompra; de este modo, se convierte en </w:t>
      </w:r>
      <w:proofErr w:type="spellStart"/>
      <w:r w:rsidRPr="00893253">
        <w:rPr>
          <w:rFonts w:cs="Times New Roman"/>
          <w:szCs w:val="24"/>
        </w:rPr>
        <w:t>bridging</w:t>
      </w:r>
      <w:proofErr w:type="spellEnd"/>
      <w:r w:rsidRPr="00893253">
        <w:rPr>
          <w:rFonts w:cs="Times New Roman"/>
          <w:szCs w:val="24"/>
        </w:rPr>
        <w:t xml:space="preserve"> hacia mercados más establecidos.</w:t>
      </w:r>
    </w:p>
    <w:p w14:paraId="7226E075" w14:textId="77777777" w:rsidR="00EE222A" w:rsidRPr="00893253" w:rsidRDefault="00EE222A" w:rsidP="000D1D85">
      <w:pPr>
        <w:spacing w:after="0" w:line="360" w:lineRule="auto"/>
        <w:jc w:val="both"/>
        <w:rPr>
          <w:rFonts w:cs="Times New Roman"/>
          <w:szCs w:val="24"/>
        </w:rPr>
      </w:pPr>
    </w:p>
    <w:p w14:paraId="7C018B74" w14:textId="0BA9091E" w:rsidR="00873098" w:rsidRPr="005C63E5" w:rsidRDefault="00D10040" w:rsidP="00873098">
      <w:pPr>
        <w:spacing w:line="360" w:lineRule="auto"/>
        <w:jc w:val="both"/>
        <w:rPr>
          <w:rFonts w:cs="Times New Roman"/>
          <w:i/>
          <w:iCs/>
          <w:szCs w:val="24"/>
        </w:rPr>
      </w:pPr>
      <w:r w:rsidRPr="005C63E5">
        <w:rPr>
          <w:rFonts w:cs="Times New Roman"/>
          <w:b/>
          <w:bCs/>
          <w:i/>
          <w:iCs/>
          <w:szCs w:val="24"/>
        </w:rPr>
        <w:t>Recomendaciones para política pública y cooperación</w:t>
      </w:r>
    </w:p>
    <w:p w14:paraId="42C21293" w14:textId="624FDE7E" w:rsidR="00D10040" w:rsidRDefault="00873098" w:rsidP="000D1D85">
      <w:pPr>
        <w:spacing w:after="0" w:line="360" w:lineRule="auto"/>
        <w:jc w:val="both"/>
        <w:rPr>
          <w:rFonts w:cs="Times New Roman"/>
          <w:szCs w:val="24"/>
        </w:rPr>
      </w:pPr>
      <w:r>
        <w:rPr>
          <w:rFonts w:cs="Times New Roman"/>
          <w:szCs w:val="24"/>
        </w:rPr>
        <w:t>S</w:t>
      </w:r>
      <w:r w:rsidR="00D10040" w:rsidRPr="00893253">
        <w:rPr>
          <w:rFonts w:cs="Times New Roman"/>
          <w:szCs w:val="24"/>
        </w:rPr>
        <w:t xml:space="preserve">e recomienda que los programas territoriales en frontera integren productividad y bienestar como un solo paquete de resiliencia: </w:t>
      </w:r>
    </w:p>
    <w:p w14:paraId="6A0E7878" w14:textId="77777777" w:rsidR="00873098" w:rsidRPr="00893253" w:rsidRDefault="00873098" w:rsidP="000D1D85">
      <w:pPr>
        <w:spacing w:after="0" w:line="360" w:lineRule="auto"/>
        <w:jc w:val="both"/>
        <w:rPr>
          <w:rFonts w:cs="Times New Roman"/>
          <w:szCs w:val="24"/>
        </w:rPr>
      </w:pPr>
    </w:p>
    <w:p w14:paraId="19219FBE" w14:textId="13E04813" w:rsidR="00D10040" w:rsidRPr="00893253" w:rsidRDefault="00D10040" w:rsidP="000D1D85">
      <w:pPr>
        <w:spacing w:after="0" w:line="360" w:lineRule="auto"/>
        <w:jc w:val="both"/>
        <w:rPr>
          <w:rFonts w:cs="Times New Roman"/>
          <w:szCs w:val="24"/>
        </w:rPr>
      </w:pPr>
      <w:r w:rsidRPr="00893253">
        <w:rPr>
          <w:rFonts w:cs="Times New Roman"/>
          <w:szCs w:val="24"/>
        </w:rPr>
        <w:t>(i) asistencia técnica a microempresas que combine liderazgo saludable, protocolos de inclusión y digitalización frugal; (</w:t>
      </w:r>
      <w:proofErr w:type="spellStart"/>
      <w:r w:rsidRPr="00893253">
        <w:rPr>
          <w:rFonts w:cs="Times New Roman"/>
          <w:szCs w:val="24"/>
        </w:rPr>
        <w:t>ii</w:t>
      </w:r>
      <w:proofErr w:type="spellEnd"/>
      <w:r w:rsidRPr="00893253">
        <w:rPr>
          <w:rFonts w:cs="Times New Roman"/>
          <w:szCs w:val="24"/>
        </w:rPr>
        <w:t>) rutas de derivación intersectorial (salud mental, protección contra violencia basada en género, acceso escolar) articuladas con redes locales; y (</w:t>
      </w:r>
      <w:proofErr w:type="spellStart"/>
      <w:r w:rsidRPr="00893253">
        <w:rPr>
          <w:rFonts w:cs="Times New Roman"/>
          <w:szCs w:val="24"/>
        </w:rPr>
        <w:t>iii</w:t>
      </w:r>
      <w:proofErr w:type="spellEnd"/>
      <w:r w:rsidRPr="00893253">
        <w:rPr>
          <w:rFonts w:cs="Times New Roman"/>
          <w:szCs w:val="24"/>
        </w:rPr>
        <w:t>) medición de impacto con indicadores duales (desempeño del negocio y reducción de vulnerabilidad). Esta propuesta es coherente con la evidencia de que la integración laboral se dificulta para población sin redes de apoyo y que los efectos adversos se concentran en segmentos vulnerables, lo que demanda intervenciones focalizadas (Bonilla et al., 2020).</w:t>
      </w:r>
    </w:p>
    <w:p w14:paraId="7ADC4BFB" w14:textId="39F9E9E1" w:rsidR="00F40347" w:rsidRPr="00893253" w:rsidRDefault="00D10040" w:rsidP="000D1D85">
      <w:pPr>
        <w:spacing w:after="0" w:line="360" w:lineRule="auto"/>
        <w:jc w:val="both"/>
        <w:rPr>
          <w:rFonts w:cs="Times New Roman"/>
          <w:szCs w:val="24"/>
        </w:rPr>
      </w:pPr>
      <w:r w:rsidRPr="00893253">
        <w:rPr>
          <w:rFonts w:cs="Times New Roman"/>
          <w:b/>
          <w:bCs/>
          <w:szCs w:val="24"/>
        </w:rPr>
        <w:t>Líneas futuras.</w:t>
      </w:r>
      <w:r w:rsidRPr="00893253">
        <w:rPr>
          <w:rFonts w:cs="Times New Roman"/>
          <w:szCs w:val="24"/>
        </w:rPr>
        <w:t xml:space="preserve"> Para elevar robustez, se sugiere complementar el PLS-SEM con análisis multigrupo (p. ej., migrantes vs población de acogida; niveles de regularidad documental), reportar tamaños de efecto (f²) e intervalos de confianza </w:t>
      </w:r>
      <w:proofErr w:type="spellStart"/>
      <w:r w:rsidRPr="00893253">
        <w:rPr>
          <w:rFonts w:cs="Times New Roman"/>
          <w:szCs w:val="24"/>
        </w:rPr>
        <w:t>bootstrap</w:t>
      </w:r>
      <w:proofErr w:type="spellEnd"/>
      <w:r w:rsidRPr="00893253">
        <w:rPr>
          <w:rFonts w:cs="Times New Roman"/>
          <w:szCs w:val="24"/>
        </w:rPr>
        <w:t>, e incorporar variables de contexto (acceso a salud, dependencia de cuidado, continuidad escolar) como moderadores o variables de control. Este programa permitiría modelar de forma más directa el puente entre salud organizacional y resiliencia social en frontera.</w:t>
      </w:r>
    </w:p>
    <w:p w14:paraId="71DF334A" w14:textId="77777777" w:rsidR="00EE222A" w:rsidRPr="00893253" w:rsidRDefault="00EE222A" w:rsidP="000D1D85">
      <w:pPr>
        <w:spacing w:after="0" w:line="360" w:lineRule="auto"/>
        <w:jc w:val="both"/>
        <w:rPr>
          <w:rFonts w:cs="Times New Roman"/>
          <w:szCs w:val="24"/>
        </w:rPr>
      </w:pPr>
    </w:p>
    <w:p w14:paraId="705BD8DD" w14:textId="77777777" w:rsidR="00F40347" w:rsidRPr="002611FE" w:rsidRDefault="00F40347" w:rsidP="000D1D85">
      <w:pPr>
        <w:spacing w:after="0" w:line="360" w:lineRule="auto"/>
        <w:jc w:val="both"/>
        <w:rPr>
          <w:rFonts w:cs="Times New Roman"/>
          <w:b/>
          <w:bCs/>
          <w:szCs w:val="24"/>
          <w:lang w:val="en-US"/>
        </w:rPr>
      </w:pPr>
      <w:r w:rsidRPr="002611FE">
        <w:rPr>
          <w:rFonts w:cs="Times New Roman"/>
          <w:b/>
          <w:bCs/>
          <w:szCs w:val="24"/>
          <w:lang w:val="en-US"/>
        </w:rPr>
        <w:t>REFERENCIAS</w:t>
      </w:r>
    </w:p>
    <w:p w14:paraId="0E9B79B8" w14:textId="77777777" w:rsidR="00F40347" w:rsidRPr="002611FE" w:rsidRDefault="00F40347" w:rsidP="000D1D85">
      <w:pPr>
        <w:spacing w:after="0" w:line="360" w:lineRule="auto"/>
        <w:jc w:val="both"/>
        <w:rPr>
          <w:rFonts w:cs="Times New Roman"/>
          <w:szCs w:val="24"/>
          <w:lang w:val="en-US"/>
        </w:rPr>
      </w:pPr>
    </w:p>
    <w:p w14:paraId="72F1F9FA" w14:textId="114FD472" w:rsidR="002364FC" w:rsidRPr="002611FE" w:rsidRDefault="002364FC" w:rsidP="002364FC">
      <w:pPr>
        <w:spacing w:after="0" w:line="360" w:lineRule="auto"/>
        <w:jc w:val="both"/>
        <w:rPr>
          <w:rFonts w:cs="Times New Roman"/>
          <w:szCs w:val="24"/>
          <w:lang w:val="en-US"/>
        </w:rPr>
      </w:pPr>
      <w:r w:rsidRPr="002611FE">
        <w:rPr>
          <w:rFonts w:cs="Times New Roman"/>
          <w:szCs w:val="24"/>
          <w:lang w:val="en-US"/>
        </w:rPr>
        <w:t xml:space="preserve">Bakker, A. B., &amp; Demerouti, E. (2017). Job demands–resources theory: Taking stock and looking forward. Journal of Occupational Health Psychology, 22(3), 273–285. </w:t>
      </w:r>
      <w:hyperlink r:id="rId13" w:history="1">
        <w:r w:rsidRPr="002611FE">
          <w:rPr>
            <w:rStyle w:val="Hipervnculo"/>
            <w:rFonts w:cs="Times New Roman"/>
            <w:szCs w:val="24"/>
            <w:lang w:val="en-US"/>
          </w:rPr>
          <w:t>https://doi.org/10.1037/ocp0000056</w:t>
        </w:r>
      </w:hyperlink>
    </w:p>
    <w:p w14:paraId="25E5AC98" w14:textId="77777777" w:rsidR="00C4747B" w:rsidRPr="002611FE" w:rsidRDefault="00C4747B" w:rsidP="002364FC">
      <w:pPr>
        <w:spacing w:after="0" w:line="360" w:lineRule="auto"/>
        <w:jc w:val="both"/>
        <w:rPr>
          <w:rFonts w:cs="Times New Roman"/>
          <w:szCs w:val="24"/>
          <w:lang w:val="en-US"/>
        </w:rPr>
      </w:pPr>
    </w:p>
    <w:p w14:paraId="3D90E7A5" w14:textId="77777777" w:rsidR="002364FC" w:rsidRPr="00893253" w:rsidRDefault="002364FC" w:rsidP="002364FC">
      <w:pPr>
        <w:spacing w:after="0" w:line="360" w:lineRule="auto"/>
        <w:jc w:val="both"/>
        <w:rPr>
          <w:rFonts w:cs="Times New Roman"/>
          <w:szCs w:val="24"/>
        </w:rPr>
      </w:pPr>
      <w:r w:rsidRPr="002611FE">
        <w:rPr>
          <w:rFonts w:cs="Times New Roman"/>
          <w:szCs w:val="24"/>
          <w:lang w:val="en-US"/>
        </w:rPr>
        <w:t xml:space="preserve">Bonilla-Mejía, L., Morales, L. F., Hermida-Giraldo, D., &amp; Flórez, L. A. (2020). </w:t>
      </w:r>
      <w:r w:rsidRPr="00893253">
        <w:rPr>
          <w:rFonts w:cs="Times New Roman"/>
          <w:szCs w:val="24"/>
        </w:rPr>
        <w:t>El mercado laboral de los inmigrantes y no inmigrantes: Evidencia de la crisis venezolana de refugiados (Borradores de Economía No. 1119). Banco de la República.</w:t>
      </w:r>
    </w:p>
    <w:p w14:paraId="642B71A8" w14:textId="77777777" w:rsidR="00C4747B" w:rsidRPr="00893253" w:rsidRDefault="00C4747B" w:rsidP="002364FC">
      <w:pPr>
        <w:spacing w:after="0" w:line="360" w:lineRule="auto"/>
        <w:jc w:val="both"/>
        <w:rPr>
          <w:rFonts w:cs="Times New Roman"/>
          <w:szCs w:val="24"/>
        </w:rPr>
      </w:pPr>
    </w:p>
    <w:p w14:paraId="667E64FC" w14:textId="6C7A7DD5" w:rsidR="002364FC" w:rsidRPr="002611FE" w:rsidRDefault="002364FC" w:rsidP="002364FC">
      <w:pPr>
        <w:spacing w:after="0" w:line="360" w:lineRule="auto"/>
        <w:jc w:val="both"/>
        <w:rPr>
          <w:rFonts w:cs="Times New Roman"/>
          <w:szCs w:val="24"/>
          <w:lang w:val="en-US"/>
        </w:rPr>
      </w:pPr>
      <w:r w:rsidRPr="00893253">
        <w:rPr>
          <w:rFonts w:cs="Times New Roman"/>
          <w:szCs w:val="24"/>
        </w:rPr>
        <w:t xml:space="preserve">Bourdieu, P. (1986). The </w:t>
      </w:r>
      <w:proofErr w:type="spellStart"/>
      <w:r w:rsidRPr="00893253">
        <w:rPr>
          <w:rFonts w:cs="Times New Roman"/>
          <w:szCs w:val="24"/>
        </w:rPr>
        <w:t>Forms</w:t>
      </w:r>
      <w:proofErr w:type="spellEnd"/>
      <w:r w:rsidRPr="00893253">
        <w:rPr>
          <w:rFonts w:cs="Times New Roman"/>
          <w:szCs w:val="24"/>
        </w:rPr>
        <w:t xml:space="preserve"> </w:t>
      </w:r>
      <w:proofErr w:type="spellStart"/>
      <w:r w:rsidRPr="00893253">
        <w:rPr>
          <w:rFonts w:cs="Times New Roman"/>
          <w:szCs w:val="24"/>
        </w:rPr>
        <w:t>of</w:t>
      </w:r>
      <w:proofErr w:type="spellEnd"/>
      <w:r w:rsidRPr="00893253">
        <w:rPr>
          <w:rFonts w:cs="Times New Roman"/>
          <w:szCs w:val="24"/>
        </w:rPr>
        <w:t xml:space="preserve"> Capital. </w:t>
      </w:r>
      <w:r w:rsidRPr="002611FE">
        <w:rPr>
          <w:rFonts w:cs="Times New Roman"/>
          <w:szCs w:val="24"/>
          <w:lang w:val="en-US"/>
        </w:rPr>
        <w:t xml:space="preserve">In J. Richardson (Ed.), Handbook of Theory and Research for the Sociology of Education (pp. 241-258). New York: Greenwood. </w:t>
      </w:r>
      <w:hyperlink r:id="rId14" w:history="1">
        <w:r w:rsidRPr="002611FE">
          <w:rPr>
            <w:rStyle w:val="Hipervnculo"/>
            <w:rFonts w:cs="Times New Roman"/>
            <w:szCs w:val="24"/>
            <w:lang w:val="en-US"/>
          </w:rPr>
          <w:t>https://www.marxists.org/reference/subject/philosophy/works/fr/bourdieu-forms-capital.htm</w:t>
        </w:r>
      </w:hyperlink>
    </w:p>
    <w:p w14:paraId="27847FFE" w14:textId="77777777" w:rsidR="00C4747B" w:rsidRPr="002611FE" w:rsidRDefault="00C4747B" w:rsidP="002364FC">
      <w:pPr>
        <w:spacing w:after="0" w:line="360" w:lineRule="auto"/>
        <w:jc w:val="both"/>
        <w:rPr>
          <w:rFonts w:cs="Times New Roman"/>
          <w:szCs w:val="24"/>
          <w:lang w:val="en-US"/>
        </w:rPr>
      </w:pPr>
    </w:p>
    <w:p w14:paraId="6AAE31A5" w14:textId="11D59340" w:rsidR="002364FC" w:rsidRPr="002611FE" w:rsidRDefault="002364FC" w:rsidP="002364FC">
      <w:pPr>
        <w:spacing w:after="0" w:line="360" w:lineRule="auto"/>
        <w:jc w:val="both"/>
        <w:rPr>
          <w:rFonts w:cs="Times New Roman"/>
          <w:szCs w:val="24"/>
          <w:lang w:val="en-US"/>
        </w:rPr>
      </w:pPr>
      <w:r w:rsidRPr="002611FE">
        <w:rPr>
          <w:rFonts w:cs="Times New Roman"/>
          <w:szCs w:val="24"/>
          <w:lang w:val="en-US"/>
        </w:rPr>
        <w:t xml:space="preserve">Coleman, J.S. (1988) Social Capital in the Creation of Human Capital. American Journal of Sociology (Supplement), 94, S95-S120. </w:t>
      </w:r>
      <w:hyperlink r:id="rId15" w:history="1">
        <w:r w:rsidRPr="002611FE">
          <w:rPr>
            <w:rStyle w:val="Hipervnculo"/>
            <w:rFonts w:cs="Times New Roman"/>
            <w:szCs w:val="24"/>
            <w:lang w:val="en-US"/>
          </w:rPr>
          <w:t>http://dx.doi.org/10.1086/228943</w:t>
        </w:r>
      </w:hyperlink>
    </w:p>
    <w:p w14:paraId="21510EAA" w14:textId="77777777" w:rsidR="00C4747B" w:rsidRPr="002611FE" w:rsidRDefault="00C4747B" w:rsidP="002364FC">
      <w:pPr>
        <w:spacing w:after="0" w:line="360" w:lineRule="auto"/>
        <w:jc w:val="both"/>
        <w:rPr>
          <w:rFonts w:cs="Times New Roman"/>
          <w:szCs w:val="24"/>
          <w:lang w:val="en-US"/>
        </w:rPr>
      </w:pPr>
    </w:p>
    <w:p w14:paraId="6DBFFEA9" w14:textId="251FC622" w:rsidR="002364FC" w:rsidRPr="00893253" w:rsidRDefault="002364FC" w:rsidP="002364FC">
      <w:pPr>
        <w:spacing w:after="0" w:line="360" w:lineRule="auto"/>
        <w:jc w:val="both"/>
        <w:rPr>
          <w:rFonts w:cs="Times New Roman"/>
          <w:szCs w:val="24"/>
        </w:rPr>
      </w:pPr>
      <w:r w:rsidRPr="00893253">
        <w:rPr>
          <w:rFonts w:cs="Times New Roman"/>
          <w:szCs w:val="24"/>
        </w:rPr>
        <w:t xml:space="preserve">Cuevas, M., &amp; Martínez, F. (2022). Actividades innovadoras de las microempresas del sector autoservicios implementadas en el contexto de la </w:t>
      </w:r>
      <w:proofErr w:type="spellStart"/>
      <w:r w:rsidRPr="00893253">
        <w:rPr>
          <w:rFonts w:cs="Times New Roman"/>
          <w:szCs w:val="24"/>
        </w:rPr>
        <w:t>covid</w:t>
      </w:r>
      <w:proofErr w:type="spellEnd"/>
      <w:r w:rsidRPr="00893253">
        <w:rPr>
          <w:rFonts w:cs="Times New Roman"/>
          <w:szCs w:val="24"/>
        </w:rPr>
        <w:t xml:space="preserve"> 19. Ciencia Latina Revista Científica Multidisciplinar, 6(2), 2355-2375. </w:t>
      </w:r>
      <w:hyperlink r:id="rId16" w:history="1">
        <w:r w:rsidRPr="00893253">
          <w:rPr>
            <w:rStyle w:val="Hipervnculo"/>
            <w:rFonts w:cs="Times New Roman"/>
            <w:szCs w:val="24"/>
          </w:rPr>
          <w:t>https://doi.org/10.37811/cl_rcm.v6i2.2032</w:t>
        </w:r>
      </w:hyperlink>
    </w:p>
    <w:p w14:paraId="1514E10A" w14:textId="77777777" w:rsidR="00C4747B" w:rsidRPr="00893253" w:rsidRDefault="00C4747B" w:rsidP="002364FC">
      <w:pPr>
        <w:spacing w:after="0" w:line="360" w:lineRule="auto"/>
        <w:jc w:val="both"/>
        <w:rPr>
          <w:rFonts w:cs="Times New Roman"/>
          <w:szCs w:val="24"/>
        </w:rPr>
      </w:pPr>
    </w:p>
    <w:p w14:paraId="114DBADF" w14:textId="14CE50DF" w:rsidR="002364FC" w:rsidRPr="00893253" w:rsidRDefault="002364FC" w:rsidP="002364FC">
      <w:pPr>
        <w:spacing w:after="0" w:line="360" w:lineRule="auto"/>
        <w:jc w:val="both"/>
        <w:rPr>
          <w:rFonts w:cs="Times New Roman"/>
          <w:szCs w:val="24"/>
        </w:rPr>
      </w:pPr>
      <w:r w:rsidRPr="00893253">
        <w:rPr>
          <w:rFonts w:cs="Times New Roman"/>
          <w:szCs w:val="24"/>
        </w:rPr>
        <w:t xml:space="preserve">Fierro Moreno, E., García-Contreras, R., &amp; Martínez Ávila, M. (2017). Desempeño Organizacional: El efecto mediador del Intercambio del conocimiento. Revista OBETS, 12(1), 169–189. </w:t>
      </w:r>
      <w:hyperlink r:id="rId17" w:history="1">
        <w:r w:rsidRPr="00893253">
          <w:rPr>
            <w:rStyle w:val="Hipervnculo"/>
            <w:rFonts w:cs="Times New Roman"/>
            <w:szCs w:val="24"/>
          </w:rPr>
          <w:t>https://doi.org/10.14198/OBETS2017.12.1.07</w:t>
        </w:r>
      </w:hyperlink>
    </w:p>
    <w:p w14:paraId="12BBB0EE" w14:textId="2402772D" w:rsidR="002364FC" w:rsidRPr="00893253" w:rsidRDefault="002364FC" w:rsidP="002364FC">
      <w:pPr>
        <w:spacing w:after="0" w:line="360" w:lineRule="auto"/>
        <w:jc w:val="both"/>
        <w:rPr>
          <w:rFonts w:cs="Times New Roman"/>
          <w:szCs w:val="24"/>
        </w:rPr>
      </w:pPr>
      <w:r w:rsidRPr="00893253">
        <w:rPr>
          <w:rFonts w:cs="Times New Roman"/>
          <w:szCs w:val="24"/>
        </w:rPr>
        <w:t xml:space="preserve">García, R., Valle, David., &amp; Canales, Rosa. (2021). Selección organizacional: resiliencia y desempeño de las pymes en la era de la COVID-19. Estudios Gerenciales, 37(158), 73-84. </w:t>
      </w:r>
      <w:hyperlink r:id="rId18" w:history="1">
        <w:r w:rsidRPr="00893253">
          <w:rPr>
            <w:rStyle w:val="Hipervnculo"/>
            <w:rFonts w:cs="Times New Roman"/>
            <w:szCs w:val="24"/>
          </w:rPr>
          <w:t>https://doi.org/10.18046/j.estger.2021.158.429</w:t>
        </w:r>
      </w:hyperlink>
    </w:p>
    <w:p w14:paraId="640A9449" w14:textId="77777777" w:rsidR="00C4747B" w:rsidRPr="00893253" w:rsidRDefault="00C4747B" w:rsidP="002364FC">
      <w:pPr>
        <w:spacing w:after="0" w:line="360" w:lineRule="auto"/>
        <w:jc w:val="both"/>
        <w:rPr>
          <w:rFonts w:cs="Times New Roman"/>
          <w:szCs w:val="24"/>
        </w:rPr>
      </w:pPr>
    </w:p>
    <w:p w14:paraId="457F49BE" w14:textId="3C8736FE" w:rsidR="002364FC" w:rsidRPr="002611FE" w:rsidRDefault="002364FC" w:rsidP="002364FC">
      <w:pPr>
        <w:spacing w:after="0" w:line="360" w:lineRule="auto"/>
        <w:jc w:val="both"/>
        <w:rPr>
          <w:rFonts w:cs="Times New Roman"/>
          <w:szCs w:val="24"/>
          <w:lang w:val="en-US"/>
        </w:rPr>
      </w:pPr>
      <w:r w:rsidRPr="00893253">
        <w:rPr>
          <w:rFonts w:cs="Times New Roman"/>
          <w:szCs w:val="24"/>
        </w:rPr>
        <w:t xml:space="preserve">Gil-Beltrán, E., Llorens, S., &amp; </w:t>
      </w:r>
      <w:proofErr w:type="spellStart"/>
      <w:r w:rsidRPr="00893253">
        <w:rPr>
          <w:rFonts w:cs="Times New Roman"/>
          <w:szCs w:val="24"/>
        </w:rPr>
        <w:t>Salanova</w:t>
      </w:r>
      <w:proofErr w:type="spellEnd"/>
      <w:r w:rsidRPr="00893253">
        <w:rPr>
          <w:rFonts w:cs="Times New Roman"/>
          <w:szCs w:val="24"/>
        </w:rPr>
        <w:t xml:space="preserve">, M. (2020). </w:t>
      </w:r>
      <w:r w:rsidRPr="002611FE">
        <w:rPr>
          <w:rFonts w:cs="Times New Roman"/>
          <w:szCs w:val="24"/>
          <w:lang w:val="en-US"/>
        </w:rPr>
        <w:t xml:space="preserve">Employees’ Physical Exercise, Resources, Engagement, and Performance: A Cross-sectional Study from HERO Model. Journal of Work and Organizational Psychology, 36(1), 39 - 47. </w:t>
      </w:r>
      <w:hyperlink r:id="rId19" w:history="1">
        <w:r w:rsidRPr="002611FE">
          <w:rPr>
            <w:rStyle w:val="Hipervnculo"/>
            <w:rFonts w:cs="Times New Roman"/>
            <w:szCs w:val="24"/>
            <w:lang w:val="en-US"/>
          </w:rPr>
          <w:t>https://doi.org/10.5093/jwop2020a4</w:t>
        </w:r>
      </w:hyperlink>
    </w:p>
    <w:p w14:paraId="46C53D9F" w14:textId="77777777" w:rsidR="00C4747B" w:rsidRPr="002611FE" w:rsidRDefault="00C4747B" w:rsidP="002364FC">
      <w:pPr>
        <w:spacing w:after="0" w:line="360" w:lineRule="auto"/>
        <w:jc w:val="both"/>
        <w:rPr>
          <w:rFonts w:cs="Times New Roman"/>
          <w:szCs w:val="24"/>
          <w:lang w:val="en-US"/>
        </w:rPr>
      </w:pPr>
    </w:p>
    <w:p w14:paraId="19FBC470" w14:textId="2288E937" w:rsidR="002364FC" w:rsidRPr="00893253" w:rsidRDefault="002364FC" w:rsidP="002364FC">
      <w:pPr>
        <w:spacing w:after="0" w:line="360" w:lineRule="auto"/>
        <w:jc w:val="both"/>
        <w:rPr>
          <w:rFonts w:cs="Times New Roman"/>
          <w:szCs w:val="24"/>
        </w:rPr>
      </w:pPr>
      <w:r w:rsidRPr="002611FE">
        <w:rPr>
          <w:rFonts w:cs="Times New Roman"/>
          <w:szCs w:val="24"/>
          <w:lang w:val="en-US"/>
        </w:rPr>
        <w:lastRenderedPageBreak/>
        <w:t xml:space="preserve">González, A., &amp; Castro, F. (2020). </w:t>
      </w:r>
      <w:r w:rsidRPr="00893253">
        <w:rPr>
          <w:rFonts w:cs="Times New Roman"/>
          <w:szCs w:val="24"/>
        </w:rPr>
        <w:t xml:space="preserve">Prácticas organizacionales y resiliencia en empresas de base comunitaria en Colombia. Revista Estudios Gerenciales, 36(157), 243–252. </w:t>
      </w:r>
      <w:hyperlink r:id="rId20" w:history="1">
        <w:r w:rsidRPr="00893253">
          <w:rPr>
            <w:rStyle w:val="Hipervnculo"/>
            <w:rFonts w:cs="Times New Roman"/>
            <w:szCs w:val="24"/>
          </w:rPr>
          <w:t>https://doi.org/10.18046/j.estger.2020.157.4020</w:t>
        </w:r>
      </w:hyperlink>
    </w:p>
    <w:p w14:paraId="1C63941A" w14:textId="77777777" w:rsidR="00C4747B" w:rsidRPr="00893253" w:rsidRDefault="00C4747B" w:rsidP="002364FC">
      <w:pPr>
        <w:spacing w:after="0" w:line="360" w:lineRule="auto"/>
        <w:jc w:val="both"/>
        <w:rPr>
          <w:rFonts w:cs="Times New Roman"/>
          <w:szCs w:val="24"/>
        </w:rPr>
      </w:pPr>
    </w:p>
    <w:p w14:paraId="586F62F8" w14:textId="767320C2" w:rsidR="002364FC" w:rsidRPr="00893253" w:rsidRDefault="002364FC" w:rsidP="002364FC">
      <w:pPr>
        <w:spacing w:after="0" w:line="360" w:lineRule="auto"/>
        <w:jc w:val="both"/>
        <w:rPr>
          <w:rFonts w:cs="Times New Roman"/>
          <w:szCs w:val="24"/>
        </w:rPr>
      </w:pPr>
      <w:r w:rsidRPr="00893253">
        <w:rPr>
          <w:rFonts w:cs="Times New Roman"/>
          <w:szCs w:val="24"/>
        </w:rPr>
        <w:t xml:space="preserve">González, R., &amp; Martínez, L. (2019). Innovación y sostenibilidad en microempresas: Un enfoque desde la economía circular. Revista de Estudios Empresariales, 5(2), 60–75. </w:t>
      </w:r>
      <w:hyperlink r:id="rId21" w:history="1">
        <w:r w:rsidRPr="00893253">
          <w:rPr>
            <w:rStyle w:val="Hipervnculo"/>
            <w:rFonts w:cs="Times New Roman"/>
            <w:szCs w:val="24"/>
          </w:rPr>
          <w:t>https://doi.org/10.1016/j.ree.2019.05.005</w:t>
        </w:r>
      </w:hyperlink>
    </w:p>
    <w:p w14:paraId="21CA54F1" w14:textId="77777777" w:rsidR="00C4747B" w:rsidRPr="00893253" w:rsidRDefault="00C4747B" w:rsidP="002364FC">
      <w:pPr>
        <w:spacing w:after="0" w:line="360" w:lineRule="auto"/>
        <w:jc w:val="both"/>
        <w:rPr>
          <w:rFonts w:cs="Times New Roman"/>
          <w:szCs w:val="24"/>
        </w:rPr>
      </w:pPr>
    </w:p>
    <w:p w14:paraId="35BA9C09" w14:textId="59211498" w:rsidR="002364FC" w:rsidRPr="002611FE" w:rsidRDefault="002364FC" w:rsidP="002364FC">
      <w:pPr>
        <w:spacing w:after="0" w:line="360" w:lineRule="auto"/>
        <w:jc w:val="both"/>
        <w:rPr>
          <w:rFonts w:cs="Times New Roman"/>
          <w:szCs w:val="24"/>
          <w:lang w:val="en-US"/>
        </w:rPr>
      </w:pPr>
      <w:r w:rsidRPr="00893253">
        <w:rPr>
          <w:rFonts w:cs="Times New Roman"/>
          <w:szCs w:val="24"/>
        </w:rPr>
        <w:t xml:space="preserve">Hair, J. F., Hult, G. T. M., Ringle, C. M., &amp; Sarstedt, M. (2022). </w:t>
      </w:r>
      <w:r w:rsidRPr="002611FE">
        <w:rPr>
          <w:rFonts w:cs="Times New Roman"/>
          <w:szCs w:val="24"/>
          <w:lang w:val="en-US"/>
        </w:rPr>
        <w:t xml:space="preserve">A Primer on Partial Least Squares Structural Equation Modeling (PLS-SEM) (3rd ed.). Sage. </w:t>
      </w:r>
      <w:hyperlink r:id="rId22" w:history="1">
        <w:r w:rsidRPr="002611FE">
          <w:rPr>
            <w:rStyle w:val="Hipervnculo"/>
            <w:rFonts w:cs="Times New Roman"/>
            <w:szCs w:val="24"/>
            <w:lang w:val="en-US"/>
          </w:rPr>
          <w:t>https://doi.org/10.1007/978-3-030-80519-7</w:t>
        </w:r>
      </w:hyperlink>
      <w:r w:rsidRPr="002611FE">
        <w:rPr>
          <w:rFonts w:cs="Times New Roman"/>
          <w:szCs w:val="24"/>
          <w:lang w:val="en-US"/>
        </w:rPr>
        <w:t>.</w:t>
      </w:r>
    </w:p>
    <w:p w14:paraId="60FB03AF" w14:textId="77777777" w:rsidR="002364FC" w:rsidRPr="002611FE" w:rsidRDefault="002364FC" w:rsidP="002364FC">
      <w:pPr>
        <w:spacing w:after="0" w:line="360" w:lineRule="auto"/>
        <w:jc w:val="both"/>
        <w:rPr>
          <w:rFonts w:cs="Times New Roman"/>
          <w:szCs w:val="24"/>
          <w:lang w:val="en-US"/>
        </w:rPr>
      </w:pPr>
    </w:p>
    <w:p w14:paraId="710904AE" w14:textId="626954FF" w:rsidR="00C4747B" w:rsidRPr="002611FE" w:rsidRDefault="002364FC" w:rsidP="002364FC">
      <w:pPr>
        <w:spacing w:after="0" w:line="360" w:lineRule="auto"/>
        <w:jc w:val="both"/>
        <w:rPr>
          <w:rFonts w:cs="Times New Roman"/>
          <w:szCs w:val="24"/>
          <w:lang w:val="en-US"/>
        </w:rPr>
      </w:pPr>
      <w:r w:rsidRPr="002611FE">
        <w:rPr>
          <w:rFonts w:cs="Times New Roman"/>
          <w:szCs w:val="24"/>
          <w:lang w:val="en-US"/>
        </w:rPr>
        <w:t xml:space="preserve">Henseler, J., Ringle, C. M., &amp; Sarstedt, M. (2015). A new criterion for assessing discriminant validity in variance-based structural equation modeling. Journal of the Academy of Marketing Science, 43(1), 115–135. DOI: 10.1007/s11747-014-0403-8. </w:t>
      </w:r>
      <w:r w:rsidR="00C4747B" w:rsidRPr="002611FE">
        <w:rPr>
          <w:rFonts w:cs="Times New Roman"/>
          <w:szCs w:val="24"/>
          <w:lang w:val="en-US"/>
        </w:rPr>
        <w:t xml:space="preserve"> </w:t>
      </w:r>
    </w:p>
    <w:p w14:paraId="18A58799" w14:textId="77777777" w:rsidR="00C4747B" w:rsidRPr="002611FE" w:rsidRDefault="00C4747B" w:rsidP="002364FC">
      <w:pPr>
        <w:spacing w:after="0" w:line="360" w:lineRule="auto"/>
        <w:jc w:val="both"/>
        <w:rPr>
          <w:rFonts w:cs="Times New Roman"/>
          <w:szCs w:val="24"/>
          <w:lang w:val="en-US"/>
        </w:rPr>
      </w:pPr>
      <w:hyperlink r:id="rId23" w:history="1">
        <w:r w:rsidRPr="002611FE">
          <w:rPr>
            <w:rStyle w:val="Hipervnculo"/>
            <w:rFonts w:cs="Times New Roman"/>
            <w:szCs w:val="24"/>
            <w:lang w:val="en-US"/>
          </w:rPr>
          <w:t>https://link.springer.com/article/10.1007/s11747-014-0403-8</w:t>
        </w:r>
      </w:hyperlink>
    </w:p>
    <w:p w14:paraId="0CF7FA0A" w14:textId="77777777" w:rsidR="00C4747B" w:rsidRPr="002611FE" w:rsidRDefault="00C4747B" w:rsidP="002364FC">
      <w:pPr>
        <w:spacing w:after="0" w:line="360" w:lineRule="auto"/>
        <w:jc w:val="both"/>
        <w:rPr>
          <w:rFonts w:cs="Times New Roman"/>
          <w:szCs w:val="24"/>
          <w:lang w:val="en-US"/>
        </w:rPr>
      </w:pPr>
    </w:p>
    <w:p w14:paraId="08F6C9CB" w14:textId="214FC9A8" w:rsidR="002364FC" w:rsidRPr="002611FE" w:rsidRDefault="002364FC" w:rsidP="002364FC">
      <w:pPr>
        <w:spacing w:after="0" w:line="360" w:lineRule="auto"/>
        <w:jc w:val="both"/>
        <w:rPr>
          <w:rFonts w:cs="Times New Roman"/>
          <w:szCs w:val="24"/>
          <w:lang w:val="en-US"/>
        </w:rPr>
      </w:pPr>
      <w:r w:rsidRPr="00893253">
        <w:rPr>
          <w:rFonts w:cs="Times New Roman"/>
          <w:szCs w:val="24"/>
        </w:rPr>
        <w:t>Hernández Sánchez, R. (2023). Modelo de Cultura Organizacional para Microempresas de Servicios en Ixtapaluca, Estado de México.</w:t>
      </w:r>
      <w:r w:rsidR="00C4747B" w:rsidRPr="00893253">
        <w:rPr>
          <w:rFonts w:cs="Times New Roman"/>
          <w:szCs w:val="24"/>
        </w:rPr>
        <w:t xml:space="preserve"> </w:t>
      </w:r>
      <w:r w:rsidRPr="00893253">
        <w:rPr>
          <w:rFonts w:cs="Times New Roman"/>
          <w:szCs w:val="24"/>
        </w:rPr>
        <w:t xml:space="preserve"> </w:t>
      </w:r>
      <w:hyperlink r:id="rId24" w:history="1">
        <w:r w:rsidR="00C4747B" w:rsidRPr="002611FE">
          <w:rPr>
            <w:rStyle w:val="Hipervnculo"/>
            <w:rFonts w:cs="Times New Roman"/>
            <w:szCs w:val="24"/>
            <w:lang w:val="en-US"/>
          </w:rPr>
          <w:t>https://rinacional.tecnm.mx/jspui/handle/TecNM/8152</w:t>
        </w:r>
      </w:hyperlink>
    </w:p>
    <w:p w14:paraId="56440FFC" w14:textId="77777777" w:rsidR="00C4747B" w:rsidRPr="002611FE" w:rsidRDefault="00C4747B" w:rsidP="002364FC">
      <w:pPr>
        <w:spacing w:after="0" w:line="360" w:lineRule="auto"/>
        <w:jc w:val="both"/>
        <w:rPr>
          <w:rFonts w:cs="Times New Roman"/>
          <w:szCs w:val="24"/>
          <w:lang w:val="en-US"/>
        </w:rPr>
      </w:pPr>
    </w:p>
    <w:p w14:paraId="19A68832" w14:textId="2C549319" w:rsidR="002364FC" w:rsidRPr="002611FE" w:rsidRDefault="002364FC" w:rsidP="002364FC">
      <w:pPr>
        <w:spacing w:after="0" w:line="360" w:lineRule="auto"/>
        <w:jc w:val="both"/>
        <w:rPr>
          <w:rFonts w:cs="Times New Roman"/>
          <w:szCs w:val="24"/>
          <w:lang w:val="en-US"/>
        </w:rPr>
      </w:pPr>
      <w:r w:rsidRPr="002611FE">
        <w:rPr>
          <w:rFonts w:cs="Times New Roman"/>
          <w:szCs w:val="24"/>
          <w:lang w:val="en-US"/>
        </w:rPr>
        <w:t xml:space="preserve">Kluemper, D. H., McLarty, B. D., &amp; Bing, M. N. (2019). Digital leadership and organizational support: Impacts on job satisfaction and commitment. Journal of Business and Psychology, 34(3), 465–480. </w:t>
      </w:r>
      <w:hyperlink r:id="rId25" w:history="1">
        <w:r w:rsidR="00C4747B" w:rsidRPr="002611FE">
          <w:rPr>
            <w:rStyle w:val="Hipervnculo"/>
            <w:rFonts w:cs="Times New Roman"/>
            <w:szCs w:val="24"/>
            <w:lang w:val="en-US"/>
          </w:rPr>
          <w:t>https://doi.org/10.1007/s10869-018-9552-3</w:t>
        </w:r>
      </w:hyperlink>
    </w:p>
    <w:p w14:paraId="469FB8FE" w14:textId="77777777" w:rsidR="00C4747B" w:rsidRPr="002611FE" w:rsidRDefault="00C4747B" w:rsidP="002364FC">
      <w:pPr>
        <w:spacing w:after="0" w:line="360" w:lineRule="auto"/>
        <w:jc w:val="both"/>
        <w:rPr>
          <w:rFonts w:cs="Times New Roman"/>
          <w:szCs w:val="24"/>
          <w:lang w:val="en-US"/>
        </w:rPr>
      </w:pPr>
    </w:p>
    <w:p w14:paraId="00F242D9" w14:textId="403B8665" w:rsidR="002364FC" w:rsidRPr="002611FE" w:rsidRDefault="002364FC" w:rsidP="002364FC">
      <w:pPr>
        <w:spacing w:after="0" w:line="360" w:lineRule="auto"/>
        <w:jc w:val="both"/>
        <w:rPr>
          <w:rFonts w:cs="Times New Roman"/>
          <w:szCs w:val="24"/>
          <w:lang w:val="en-US"/>
        </w:rPr>
      </w:pPr>
      <w:r w:rsidRPr="002611FE">
        <w:rPr>
          <w:rFonts w:cs="Times New Roman"/>
          <w:szCs w:val="24"/>
          <w:lang w:val="en-US"/>
        </w:rPr>
        <w:t xml:space="preserve">Luthans, F., Youssef, C. M., &amp; Avolio, B. J. (2017). Psychological capital: Developing the </w:t>
      </w:r>
      <w:proofErr w:type="gramStart"/>
      <w:r w:rsidRPr="002611FE">
        <w:rPr>
          <w:rFonts w:cs="Times New Roman"/>
          <w:szCs w:val="24"/>
          <w:lang w:val="en-US"/>
        </w:rPr>
        <w:t>human competitive</w:t>
      </w:r>
      <w:proofErr w:type="gramEnd"/>
      <w:r w:rsidRPr="002611FE">
        <w:rPr>
          <w:rFonts w:cs="Times New Roman"/>
          <w:szCs w:val="24"/>
          <w:lang w:val="en-US"/>
        </w:rPr>
        <w:t xml:space="preserve"> edge. Oxford University Press.</w:t>
      </w:r>
    </w:p>
    <w:p w14:paraId="68FB20D9" w14:textId="77777777" w:rsidR="002364FC" w:rsidRPr="002611FE" w:rsidRDefault="002364FC" w:rsidP="002364FC">
      <w:pPr>
        <w:spacing w:after="0" w:line="360" w:lineRule="auto"/>
        <w:jc w:val="both"/>
        <w:rPr>
          <w:rFonts w:cs="Times New Roman"/>
          <w:szCs w:val="24"/>
          <w:lang w:val="en-US"/>
        </w:rPr>
      </w:pPr>
    </w:p>
    <w:p w14:paraId="05281082" w14:textId="4E296830" w:rsidR="002364FC" w:rsidRPr="002611FE" w:rsidRDefault="002364FC" w:rsidP="002364FC">
      <w:pPr>
        <w:spacing w:after="0" w:line="360" w:lineRule="auto"/>
        <w:jc w:val="both"/>
        <w:rPr>
          <w:rFonts w:cs="Times New Roman"/>
          <w:szCs w:val="24"/>
          <w:lang w:val="en-US"/>
        </w:rPr>
      </w:pPr>
      <w:r w:rsidRPr="002611FE">
        <w:rPr>
          <w:rFonts w:cs="Times New Roman"/>
          <w:szCs w:val="24"/>
          <w:lang w:val="en-US"/>
        </w:rPr>
        <w:t xml:space="preserve">Mariano, S., &amp; Casey, A. (2020). A dynamic model of organizational resilience: Adaptive and transformative capabilities in a local government. Local Government Studies, 46(3), 421–448. </w:t>
      </w:r>
      <w:hyperlink r:id="rId26" w:history="1">
        <w:r w:rsidR="00C4747B" w:rsidRPr="002611FE">
          <w:rPr>
            <w:rStyle w:val="Hipervnculo"/>
            <w:rFonts w:cs="Times New Roman"/>
            <w:szCs w:val="24"/>
            <w:lang w:val="en-US"/>
          </w:rPr>
          <w:t>https://doi.org/10.1080/03003930.2019.1690995</w:t>
        </w:r>
      </w:hyperlink>
    </w:p>
    <w:p w14:paraId="6D0E0AD7" w14:textId="77777777" w:rsidR="002364FC" w:rsidRPr="002611FE" w:rsidRDefault="002364FC" w:rsidP="002364FC">
      <w:pPr>
        <w:spacing w:after="0" w:line="360" w:lineRule="auto"/>
        <w:jc w:val="both"/>
        <w:rPr>
          <w:rFonts w:cs="Times New Roman"/>
          <w:szCs w:val="24"/>
          <w:lang w:val="en-US"/>
        </w:rPr>
      </w:pPr>
    </w:p>
    <w:p w14:paraId="4EC2BC1C" w14:textId="6E05E80B" w:rsidR="002364FC" w:rsidRPr="00893253" w:rsidRDefault="002364FC" w:rsidP="002364FC">
      <w:pPr>
        <w:spacing w:after="0" w:line="360" w:lineRule="auto"/>
        <w:jc w:val="both"/>
        <w:rPr>
          <w:rFonts w:cs="Times New Roman"/>
          <w:szCs w:val="24"/>
        </w:rPr>
      </w:pPr>
      <w:r w:rsidRPr="002611FE">
        <w:rPr>
          <w:rFonts w:cs="Times New Roman"/>
          <w:szCs w:val="24"/>
          <w:lang w:val="en-US"/>
        </w:rPr>
        <w:t xml:space="preserve">Martínez, I. M., </w:t>
      </w:r>
      <w:proofErr w:type="spellStart"/>
      <w:r w:rsidRPr="002611FE">
        <w:rPr>
          <w:rFonts w:cs="Times New Roman"/>
          <w:szCs w:val="24"/>
          <w:lang w:val="en-US"/>
        </w:rPr>
        <w:t>Cifre</w:t>
      </w:r>
      <w:proofErr w:type="spellEnd"/>
      <w:r w:rsidRPr="002611FE">
        <w:rPr>
          <w:rFonts w:cs="Times New Roman"/>
          <w:szCs w:val="24"/>
          <w:lang w:val="en-US"/>
        </w:rPr>
        <w:t xml:space="preserve">, E., &amp; </w:t>
      </w:r>
      <w:proofErr w:type="spellStart"/>
      <w:r w:rsidRPr="002611FE">
        <w:rPr>
          <w:rFonts w:cs="Times New Roman"/>
          <w:szCs w:val="24"/>
          <w:lang w:val="en-US"/>
        </w:rPr>
        <w:t>Salanova</w:t>
      </w:r>
      <w:proofErr w:type="spellEnd"/>
      <w:r w:rsidRPr="002611FE">
        <w:rPr>
          <w:rFonts w:cs="Times New Roman"/>
          <w:szCs w:val="24"/>
          <w:lang w:val="en-US"/>
        </w:rPr>
        <w:t xml:space="preserve">, M. (2016). </w:t>
      </w:r>
      <w:r w:rsidRPr="00893253">
        <w:rPr>
          <w:rFonts w:cs="Times New Roman"/>
          <w:szCs w:val="24"/>
        </w:rPr>
        <w:t xml:space="preserve">Recursos organizacionales y </w:t>
      </w:r>
      <w:proofErr w:type="spellStart"/>
      <w:r w:rsidRPr="00893253">
        <w:rPr>
          <w:rFonts w:cs="Times New Roman"/>
          <w:szCs w:val="24"/>
        </w:rPr>
        <w:t>engagement</w:t>
      </w:r>
      <w:proofErr w:type="spellEnd"/>
      <w:r w:rsidRPr="00893253">
        <w:rPr>
          <w:rFonts w:cs="Times New Roman"/>
          <w:szCs w:val="24"/>
        </w:rPr>
        <w:t xml:space="preserve">: Evidencias del modelo HERO en servicios públicos. Revista de Psicología del Trabajo y de las Organizaciones, 36(1), 27–33. </w:t>
      </w:r>
      <w:hyperlink r:id="rId27" w:history="1">
        <w:r w:rsidR="00C4747B" w:rsidRPr="00893253">
          <w:rPr>
            <w:rStyle w:val="Hipervnculo"/>
            <w:rFonts w:cs="Times New Roman"/>
            <w:szCs w:val="24"/>
          </w:rPr>
          <w:t>https://doi.org/10.5093/jwop2020a4</w:t>
        </w:r>
      </w:hyperlink>
    </w:p>
    <w:p w14:paraId="36A9F3BB" w14:textId="77777777" w:rsidR="00C4747B" w:rsidRPr="00893253" w:rsidRDefault="00C4747B" w:rsidP="002364FC">
      <w:pPr>
        <w:spacing w:after="0" w:line="360" w:lineRule="auto"/>
        <w:jc w:val="both"/>
        <w:rPr>
          <w:rFonts w:cs="Times New Roman"/>
          <w:szCs w:val="24"/>
        </w:rPr>
      </w:pPr>
    </w:p>
    <w:p w14:paraId="1FB76E7E" w14:textId="77777777" w:rsidR="002364FC" w:rsidRPr="00893253" w:rsidRDefault="002364FC" w:rsidP="002364FC">
      <w:pPr>
        <w:spacing w:after="0" w:line="360" w:lineRule="auto"/>
        <w:jc w:val="both"/>
        <w:rPr>
          <w:rFonts w:cs="Times New Roman"/>
          <w:szCs w:val="24"/>
        </w:rPr>
      </w:pPr>
    </w:p>
    <w:p w14:paraId="5B1695F6" w14:textId="416BD70E" w:rsidR="002364FC" w:rsidRPr="002611FE" w:rsidRDefault="002364FC" w:rsidP="002364FC">
      <w:pPr>
        <w:spacing w:after="0" w:line="360" w:lineRule="auto"/>
        <w:jc w:val="both"/>
        <w:rPr>
          <w:rFonts w:cs="Times New Roman"/>
          <w:szCs w:val="24"/>
          <w:lang w:val="en-US"/>
        </w:rPr>
      </w:pPr>
      <w:proofErr w:type="spellStart"/>
      <w:r w:rsidRPr="002611FE">
        <w:rPr>
          <w:rFonts w:cs="Times New Roman"/>
          <w:szCs w:val="24"/>
          <w:lang w:val="en-US"/>
        </w:rPr>
        <w:t>Nahapiet</w:t>
      </w:r>
      <w:proofErr w:type="spellEnd"/>
      <w:r w:rsidRPr="002611FE">
        <w:rPr>
          <w:rFonts w:cs="Times New Roman"/>
          <w:szCs w:val="24"/>
          <w:lang w:val="en-US"/>
        </w:rPr>
        <w:t xml:space="preserve">, J. and Ghoshal, S. (1998) Social Capital, Intellectual Capital and the Organizational Advantage, Academy of Management. The Academy of Management Review, 3, 242- 266. </w:t>
      </w:r>
      <w:hyperlink r:id="rId28" w:history="1">
        <w:r w:rsidR="00C4747B" w:rsidRPr="002611FE">
          <w:rPr>
            <w:rStyle w:val="Hipervnculo"/>
            <w:rFonts w:cs="Times New Roman"/>
            <w:szCs w:val="24"/>
            <w:lang w:val="en-US"/>
          </w:rPr>
          <w:t>http://staffweb.hkbu.edu.hk/vwschow/lectures/ism3620/rp01.pdf</w:t>
        </w:r>
      </w:hyperlink>
    </w:p>
    <w:p w14:paraId="0C83F56F" w14:textId="77777777" w:rsidR="002364FC" w:rsidRPr="002611FE" w:rsidRDefault="002364FC" w:rsidP="002364FC">
      <w:pPr>
        <w:spacing w:after="0" w:line="360" w:lineRule="auto"/>
        <w:jc w:val="both"/>
        <w:rPr>
          <w:rFonts w:cs="Times New Roman"/>
          <w:szCs w:val="24"/>
          <w:lang w:val="en-US"/>
        </w:rPr>
      </w:pPr>
    </w:p>
    <w:p w14:paraId="3D6B487D" w14:textId="77777777" w:rsidR="002364FC" w:rsidRPr="002611FE" w:rsidRDefault="002364FC" w:rsidP="002364FC">
      <w:pPr>
        <w:spacing w:after="0" w:line="360" w:lineRule="auto"/>
        <w:jc w:val="both"/>
        <w:rPr>
          <w:rFonts w:cs="Times New Roman"/>
          <w:szCs w:val="24"/>
          <w:lang w:val="en-US"/>
        </w:rPr>
      </w:pPr>
      <w:r w:rsidRPr="00893253">
        <w:rPr>
          <w:rFonts w:cs="Times New Roman"/>
          <w:szCs w:val="24"/>
        </w:rPr>
        <w:t xml:space="preserve">Organización Internacional para las Migraciones. (2024). Diagnóstico migratorio y socioeconómico de Cúcuta (2020–2023). </w:t>
      </w:r>
      <w:r w:rsidRPr="002611FE">
        <w:rPr>
          <w:rFonts w:cs="Times New Roman"/>
          <w:szCs w:val="24"/>
          <w:lang w:val="en-US"/>
        </w:rPr>
        <w:t xml:space="preserve">OIM. </w:t>
      </w:r>
    </w:p>
    <w:p w14:paraId="57C8C0D8" w14:textId="485C1D1C" w:rsidR="002364FC" w:rsidRPr="002611FE" w:rsidRDefault="00C4747B" w:rsidP="002364FC">
      <w:pPr>
        <w:spacing w:after="0" w:line="360" w:lineRule="auto"/>
        <w:jc w:val="both"/>
        <w:rPr>
          <w:rFonts w:cs="Times New Roman"/>
          <w:szCs w:val="24"/>
          <w:lang w:val="en-US"/>
        </w:rPr>
      </w:pPr>
      <w:hyperlink r:id="rId29" w:history="1">
        <w:r w:rsidRPr="002611FE">
          <w:rPr>
            <w:rStyle w:val="Hipervnculo"/>
            <w:rFonts w:cs="Times New Roman"/>
            <w:szCs w:val="24"/>
            <w:lang w:val="en-US"/>
          </w:rPr>
          <w:t>https://repository.iom.int/bitstream/handle/20.500.11788/2409/4.%20C%C3%BAcuta_Diagn%C3%B3stico%20Socioecn%C3%B3mico.pdf.pdf?sequence=15&amp;isAllowed=y</w:t>
        </w:r>
      </w:hyperlink>
    </w:p>
    <w:p w14:paraId="4B9B0BB7" w14:textId="77777777" w:rsidR="002364FC" w:rsidRPr="002611FE" w:rsidRDefault="002364FC" w:rsidP="002364FC">
      <w:pPr>
        <w:spacing w:after="0" w:line="360" w:lineRule="auto"/>
        <w:jc w:val="both"/>
        <w:rPr>
          <w:rFonts w:cs="Times New Roman"/>
          <w:szCs w:val="24"/>
          <w:lang w:val="en-US"/>
        </w:rPr>
      </w:pPr>
    </w:p>
    <w:p w14:paraId="161D3EE1" w14:textId="42C837AB" w:rsidR="002364FC" w:rsidRPr="00893253" w:rsidRDefault="002364FC" w:rsidP="002364FC">
      <w:pPr>
        <w:spacing w:after="0" w:line="360" w:lineRule="auto"/>
        <w:jc w:val="both"/>
        <w:rPr>
          <w:rFonts w:cs="Times New Roman"/>
          <w:szCs w:val="24"/>
        </w:rPr>
      </w:pPr>
      <w:r w:rsidRPr="00893253">
        <w:rPr>
          <w:rFonts w:cs="Times New Roman"/>
          <w:szCs w:val="24"/>
        </w:rPr>
        <w:t xml:space="preserve">Organización Internacional del Trabajo (OIT). (2020). Trabajo decente y microempresas en América Latina. </w:t>
      </w:r>
      <w:hyperlink r:id="rId30" w:history="1">
        <w:r w:rsidR="00C4747B" w:rsidRPr="00893253">
          <w:rPr>
            <w:rStyle w:val="Hipervnculo"/>
            <w:rFonts w:cs="Times New Roman"/>
            <w:szCs w:val="24"/>
          </w:rPr>
          <w:t>https://www.ilo.org/</w:t>
        </w:r>
      </w:hyperlink>
    </w:p>
    <w:p w14:paraId="62761E5C" w14:textId="77777777" w:rsidR="00C4747B" w:rsidRPr="00893253" w:rsidRDefault="00C4747B" w:rsidP="002364FC">
      <w:pPr>
        <w:spacing w:after="0" w:line="360" w:lineRule="auto"/>
        <w:jc w:val="both"/>
        <w:rPr>
          <w:rFonts w:cs="Times New Roman"/>
          <w:szCs w:val="24"/>
        </w:rPr>
      </w:pPr>
    </w:p>
    <w:p w14:paraId="7B01F794" w14:textId="13ACAD04" w:rsidR="002364FC" w:rsidRPr="00893253" w:rsidRDefault="002364FC" w:rsidP="002364FC">
      <w:pPr>
        <w:spacing w:after="0" w:line="360" w:lineRule="auto"/>
        <w:jc w:val="both"/>
        <w:rPr>
          <w:rFonts w:cs="Times New Roman"/>
          <w:szCs w:val="24"/>
        </w:rPr>
      </w:pPr>
      <w:r w:rsidRPr="00893253">
        <w:rPr>
          <w:rFonts w:cs="Times New Roman"/>
          <w:szCs w:val="24"/>
        </w:rPr>
        <w:t>Programa de las Naciones Unidas para el Desarrollo. (2024, septiembre 17). Documento de análisis. Mercado laboral población migrante. PNUD Colombia.</w:t>
      </w:r>
    </w:p>
    <w:p w14:paraId="1583F1AA" w14:textId="6108BFCC" w:rsidR="002364FC" w:rsidRPr="00893253" w:rsidRDefault="00C4747B" w:rsidP="002364FC">
      <w:pPr>
        <w:spacing w:after="0" w:line="360" w:lineRule="auto"/>
        <w:jc w:val="both"/>
        <w:rPr>
          <w:rFonts w:cs="Times New Roman"/>
          <w:szCs w:val="24"/>
        </w:rPr>
      </w:pPr>
      <w:hyperlink r:id="rId31" w:history="1">
        <w:r w:rsidRPr="00893253">
          <w:rPr>
            <w:rStyle w:val="Hipervnculo"/>
            <w:rFonts w:cs="Times New Roman"/>
            <w:szCs w:val="24"/>
          </w:rPr>
          <w:t>https://www.undp.org/es/colombia/publicaciones/documento-analisis-mercado-laboral-poblacion-migrante</w:t>
        </w:r>
      </w:hyperlink>
    </w:p>
    <w:p w14:paraId="01DAB4D8" w14:textId="77777777" w:rsidR="002364FC" w:rsidRPr="00893253" w:rsidRDefault="002364FC" w:rsidP="002364FC">
      <w:pPr>
        <w:spacing w:after="0" w:line="360" w:lineRule="auto"/>
        <w:jc w:val="both"/>
        <w:rPr>
          <w:rFonts w:cs="Times New Roman"/>
          <w:szCs w:val="24"/>
        </w:rPr>
      </w:pPr>
    </w:p>
    <w:p w14:paraId="3E586AC8" w14:textId="20BE95B9" w:rsidR="002364FC" w:rsidRPr="00893253" w:rsidRDefault="002364FC" w:rsidP="002364FC">
      <w:pPr>
        <w:spacing w:after="0" w:line="360" w:lineRule="auto"/>
        <w:jc w:val="both"/>
        <w:rPr>
          <w:rFonts w:cs="Times New Roman"/>
          <w:szCs w:val="24"/>
        </w:rPr>
      </w:pPr>
      <w:r w:rsidRPr="002611FE">
        <w:rPr>
          <w:rFonts w:cs="Times New Roman"/>
          <w:szCs w:val="24"/>
          <w:lang w:val="en-US"/>
        </w:rPr>
        <w:t xml:space="preserve">Putnam, R. D. (2000). Bowling Alone: The Collapse and Revival of American Community. </w:t>
      </w:r>
      <w:proofErr w:type="spellStart"/>
      <w:r w:rsidRPr="00893253">
        <w:rPr>
          <w:rFonts w:cs="Times New Roman"/>
          <w:szCs w:val="24"/>
        </w:rPr>
        <w:t>Simon</w:t>
      </w:r>
      <w:proofErr w:type="spellEnd"/>
      <w:r w:rsidRPr="00893253">
        <w:rPr>
          <w:rFonts w:cs="Times New Roman"/>
          <w:szCs w:val="24"/>
        </w:rPr>
        <w:t xml:space="preserve">-Schuster.  </w:t>
      </w:r>
      <w:hyperlink r:id="rId32" w:history="1">
        <w:r w:rsidR="00C4747B" w:rsidRPr="00893253">
          <w:rPr>
            <w:rStyle w:val="Hipervnculo"/>
            <w:rFonts w:cs="Times New Roman"/>
            <w:szCs w:val="24"/>
          </w:rPr>
          <w:t>https://doi.org/10.1145/358916.361990</w:t>
        </w:r>
      </w:hyperlink>
    </w:p>
    <w:p w14:paraId="4865BE1D" w14:textId="77777777" w:rsidR="00C4747B" w:rsidRPr="00893253" w:rsidRDefault="00C4747B" w:rsidP="002364FC">
      <w:pPr>
        <w:spacing w:after="0" w:line="360" w:lineRule="auto"/>
        <w:jc w:val="both"/>
        <w:rPr>
          <w:rFonts w:cs="Times New Roman"/>
          <w:szCs w:val="24"/>
        </w:rPr>
      </w:pPr>
    </w:p>
    <w:p w14:paraId="22EF472E" w14:textId="6EBEDA07" w:rsidR="002364FC" w:rsidRPr="00893253" w:rsidRDefault="002364FC" w:rsidP="002364FC">
      <w:pPr>
        <w:spacing w:after="0" w:line="360" w:lineRule="auto"/>
        <w:jc w:val="both"/>
        <w:rPr>
          <w:rFonts w:cs="Times New Roman"/>
          <w:szCs w:val="24"/>
        </w:rPr>
      </w:pPr>
      <w:r w:rsidRPr="00893253">
        <w:rPr>
          <w:rFonts w:cs="Times New Roman"/>
          <w:szCs w:val="24"/>
        </w:rPr>
        <w:t xml:space="preserve">Ramírez, C., &amp; Arango, S. (2021). Digitalización y resiliencia en MiPymes colombianas. Revista Innovar, 31(81), 56–71. </w:t>
      </w:r>
      <w:hyperlink r:id="rId33" w:history="1">
        <w:r w:rsidR="00C4747B" w:rsidRPr="00893253">
          <w:rPr>
            <w:rStyle w:val="Hipervnculo"/>
            <w:rFonts w:cs="Times New Roman"/>
            <w:szCs w:val="24"/>
          </w:rPr>
          <w:t>https://doi.org/10.15446/innovar.v31n81.95042</w:t>
        </w:r>
      </w:hyperlink>
    </w:p>
    <w:p w14:paraId="080A2304" w14:textId="77777777" w:rsidR="00C4747B" w:rsidRPr="00893253" w:rsidRDefault="00C4747B" w:rsidP="002364FC">
      <w:pPr>
        <w:spacing w:after="0" w:line="360" w:lineRule="auto"/>
        <w:jc w:val="both"/>
        <w:rPr>
          <w:rFonts w:cs="Times New Roman"/>
          <w:szCs w:val="24"/>
        </w:rPr>
      </w:pPr>
    </w:p>
    <w:p w14:paraId="681499B8" w14:textId="3A405C66" w:rsidR="002364FC" w:rsidRPr="002611FE" w:rsidRDefault="002364FC" w:rsidP="002364FC">
      <w:pPr>
        <w:spacing w:after="0" w:line="360" w:lineRule="auto"/>
        <w:jc w:val="both"/>
        <w:rPr>
          <w:rFonts w:cs="Times New Roman"/>
          <w:szCs w:val="24"/>
          <w:lang w:val="en-US"/>
        </w:rPr>
      </w:pPr>
      <w:proofErr w:type="spellStart"/>
      <w:r w:rsidRPr="00893253">
        <w:rPr>
          <w:rFonts w:cs="Times New Roman"/>
          <w:szCs w:val="24"/>
        </w:rPr>
        <w:lastRenderedPageBreak/>
        <w:t>Salanova</w:t>
      </w:r>
      <w:proofErr w:type="spellEnd"/>
      <w:r w:rsidRPr="00893253">
        <w:rPr>
          <w:rFonts w:cs="Times New Roman"/>
          <w:szCs w:val="24"/>
        </w:rPr>
        <w:t xml:space="preserve">, M., Llorens, S., Cifre, E., &amp; Martínez, I. M. (2012). </w:t>
      </w:r>
      <w:r w:rsidRPr="002611FE">
        <w:rPr>
          <w:rFonts w:cs="Times New Roman"/>
          <w:szCs w:val="24"/>
          <w:lang w:val="en-US"/>
        </w:rPr>
        <w:t xml:space="preserve">We need a hero! Toward a validation of the Healthy and Resilient Organization (HERO) model. Group &amp; Organization Management, 37(6), 785–822. </w:t>
      </w:r>
      <w:hyperlink r:id="rId34" w:history="1">
        <w:r w:rsidR="00C4747B" w:rsidRPr="002611FE">
          <w:rPr>
            <w:rStyle w:val="Hipervnculo"/>
            <w:rFonts w:cs="Times New Roman"/>
            <w:szCs w:val="24"/>
            <w:lang w:val="en-US"/>
          </w:rPr>
          <w:t>https://doi.org/10.1177/1059601112470405</w:t>
        </w:r>
      </w:hyperlink>
    </w:p>
    <w:p w14:paraId="795A1B3B" w14:textId="77777777" w:rsidR="002364FC" w:rsidRPr="002611FE" w:rsidRDefault="002364FC" w:rsidP="002364FC">
      <w:pPr>
        <w:spacing w:after="0" w:line="360" w:lineRule="auto"/>
        <w:jc w:val="both"/>
        <w:rPr>
          <w:rFonts w:cs="Times New Roman"/>
          <w:szCs w:val="24"/>
          <w:lang w:val="en-US"/>
        </w:rPr>
      </w:pPr>
    </w:p>
    <w:p w14:paraId="10D39C26" w14:textId="4871B861" w:rsidR="002364FC" w:rsidRPr="00893253" w:rsidRDefault="002364FC" w:rsidP="002364FC">
      <w:pPr>
        <w:spacing w:after="0" w:line="360" w:lineRule="auto"/>
        <w:jc w:val="both"/>
        <w:rPr>
          <w:rFonts w:cs="Times New Roman"/>
          <w:szCs w:val="24"/>
        </w:rPr>
      </w:pPr>
      <w:r w:rsidRPr="002611FE">
        <w:rPr>
          <w:rFonts w:cs="Times New Roman"/>
          <w:szCs w:val="24"/>
          <w:lang w:val="en-US"/>
        </w:rPr>
        <w:t xml:space="preserve">Salanova, M., Llorens, S., &amp; Martínez, I. M. (2016). </w:t>
      </w:r>
      <w:r w:rsidRPr="00893253">
        <w:rPr>
          <w:rFonts w:cs="Times New Roman"/>
          <w:szCs w:val="24"/>
        </w:rPr>
        <w:t xml:space="preserve">Aportaciones desde la psicología organizacional positiva para desarrollar organizaciones saludables y resilientes. Papeles del psicólogo, 37(3), 177-184.  </w:t>
      </w:r>
      <w:hyperlink r:id="rId35" w:history="1">
        <w:r w:rsidR="00C4747B" w:rsidRPr="00893253">
          <w:rPr>
            <w:rStyle w:val="Hipervnculo"/>
            <w:rFonts w:cs="Times New Roman"/>
            <w:szCs w:val="24"/>
          </w:rPr>
          <w:t>https://www.redalyc.org/pdf/778/77847916004.pdf</w:t>
        </w:r>
      </w:hyperlink>
    </w:p>
    <w:p w14:paraId="211A1F12" w14:textId="77777777" w:rsidR="002364FC" w:rsidRPr="00893253" w:rsidRDefault="002364FC" w:rsidP="002364FC">
      <w:pPr>
        <w:spacing w:after="0" w:line="360" w:lineRule="auto"/>
        <w:jc w:val="both"/>
        <w:rPr>
          <w:rFonts w:cs="Times New Roman"/>
          <w:szCs w:val="24"/>
        </w:rPr>
      </w:pPr>
    </w:p>
    <w:p w14:paraId="5E61D0F9" w14:textId="77777777" w:rsidR="00C4747B" w:rsidRPr="002611FE" w:rsidRDefault="002364FC" w:rsidP="002364FC">
      <w:pPr>
        <w:spacing w:after="0" w:line="360" w:lineRule="auto"/>
        <w:jc w:val="both"/>
        <w:rPr>
          <w:rFonts w:cs="Times New Roman"/>
          <w:szCs w:val="24"/>
          <w:lang w:val="en-US"/>
        </w:rPr>
      </w:pPr>
      <w:proofErr w:type="spellStart"/>
      <w:r w:rsidRPr="00893253">
        <w:rPr>
          <w:rFonts w:cs="Times New Roman"/>
          <w:szCs w:val="24"/>
        </w:rPr>
        <w:t>Salanova</w:t>
      </w:r>
      <w:proofErr w:type="spellEnd"/>
      <w:r w:rsidRPr="00893253">
        <w:rPr>
          <w:rFonts w:cs="Times New Roman"/>
          <w:szCs w:val="24"/>
        </w:rPr>
        <w:t xml:space="preserve">, M., &amp; </w:t>
      </w:r>
      <w:proofErr w:type="spellStart"/>
      <w:r w:rsidRPr="00893253">
        <w:rPr>
          <w:rFonts w:cs="Times New Roman"/>
          <w:szCs w:val="24"/>
        </w:rPr>
        <w:t>Schaufeli</w:t>
      </w:r>
      <w:proofErr w:type="spellEnd"/>
      <w:r w:rsidRPr="00893253">
        <w:rPr>
          <w:rFonts w:cs="Times New Roman"/>
          <w:szCs w:val="24"/>
        </w:rPr>
        <w:t xml:space="preserve">, W. B. (2000). </w:t>
      </w:r>
      <w:r w:rsidRPr="002611FE">
        <w:rPr>
          <w:rFonts w:cs="Times New Roman"/>
          <w:szCs w:val="24"/>
          <w:lang w:val="en-US"/>
        </w:rPr>
        <w:t xml:space="preserve">Exposure to information technology and its relation to burnout. </w:t>
      </w:r>
      <w:proofErr w:type="spellStart"/>
      <w:r w:rsidRPr="002611FE">
        <w:rPr>
          <w:rFonts w:cs="Times New Roman"/>
          <w:szCs w:val="24"/>
          <w:lang w:val="en-US"/>
        </w:rPr>
        <w:t>Behaviour</w:t>
      </w:r>
      <w:proofErr w:type="spellEnd"/>
      <w:r w:rsidRPr="002611FE">
        <w:rPr>
          <w:rFonts w:cs="Times New Roman"/>
          <w:szCs w:val="24"/>
          <w:lang w:val="en-US"/>
        </w:rPr>
        <w:t xml:space="preserve"> &amp; Information Technology, 19(5), 385-392</w:t>
      </w:r>
      <w:r w:rsidR="00C4747B" w:rsidRPr="002611FE">
        <w:rPr>
          <w:rFonts w:cs="Times New Roman"/>
          <w:szCs w:val="24"/>
          <w:lang w:val="en-US"/>
        </w:rPr>
        <w:t xml:space="preserve">  </w:t>
      </w:r>
    </w:p>
    <w:p w14:paraId="0226B109" w14:textId="248A0801" w:rsidR="002364FC" w:rsidRPr="002611FE" w:rsidRDefault="002364FC" w:rsidP="002364FC">
      <w:pPr>
        <w:spacing w:after="0" w:line="360" w:lineRule="auto"/>
        <w:jc w:val="both"/>
        <w:rPr>
          <w:rFonts w:cs="Times New Roman"/>
          <w:szCs w:val="24"/>
          <w:lang w:val="en-US"/>
        </w:rPr>
      </w:pPr>
      <w:r w:rsidRPr="002611FE">
        <w:rPr>
          <w:rFonts w:cs="Times New Roman"/>
          <w:szCs w:val="24"/>
          <w:lang w:val="en-US"/>
        </w:rPr>
        <w:t xml:space="preserve"> </w:t>
      </w:r>
      <w:hyperlink r:id="rId36" w:history="1">
        <w:r w:rsidR="00C4747B" w:rsidRPr="002611FE">
          <w:rPr>
            <w:rStyle w:val="Hipervnculo"/>
            <w:rFonts w:cs="Times New Roman"/>
            <w:szCs w:val="24"/>
            <w:lang w:val="en-US"/>
          </w:rPr>
          <w:t>https://journals.copmadrid.org/jwop/files/63236.pdf</w:t>
        </w:r>
      </w:hyperlink>
    </w:p>
    <w:p w14:paraId="56617751" w14:textId="6453B6A1" w:rsidR="002364FC" w:rsidRPr="00893253" w:rsidRDefault="002364FC" w:rsidP="002364FC">
      <w:pPr>
        <w:spacing w:after="0" w:line="360" w:lineRule="auto"/>
        <w:jc w:val="both"/>
        <w:rPr>
          <w:rFonts w:cs="Times New Roman"/>
          <w:szCs w:val="24"/>
        </w:rPr>
      </w:pPr>
      <w:r w:rsidRPr="002611FE">
        <w:rPr>
          <w:rFonts w:cs="Times New Roman"/>
          <w:szCs w:val="24"/>
          <w:lang w:val="en-US"/>
        </w:rPr>
        <w:t>Sarstedt, M., Ringle, C. M., &amp; Hair, J. F. (202</w:t>
      </w:r>
      <w:r w:rsidR="00C4747B" w:rsidRPr="002611FE">
        <w:rPr>
          <w:rFonts w:cs="Times New Roman"/>
          <w:szCs w:val="24"/>
          <w:lang w:val="en-US"/>
        </w:rPr>
        <w:t>2</w:t>
      </w:r>
      <w:r w:rsidRPr="002611FE">
        <w:rPr>
          <w:rFonts w:cs="Times New Roman"/>
          <w:szCs w:val="24"/>
          <w:lang w:val="en-US"/>
        </w:rPr>
        <w:t xml:space="preserve">). Partial least squares structural equation modeling. In Handbook of market research (pp. 587-632). Cham: Springer International Publishing.  </w:t>
      </w:r>
      <w:hyperlink r:id="rId37" w:history="1">
        <w:r w:rsidR="00C4747B" w:rsidRPr="00893253">
          <w:rPr>
            <w:rStyle w:val="Hipervnculo"/>
            <w:rFonts w:cs="Times New Roman"/>
            <w:szCs w:val="24"/>
          </w:rPr>
          <w:t>https://doi.org/10.1007/978-3-319-05542-8_15-2</w:t>
        </w:r>
      </w:hyperlink>
    </w:p>
    <w:p w14:paraId="3B1163BE" w14:textId="77777777" w:rsidR="002364FC" w:rsidRPr="00893253" w:rsidRDefault="002364FC" w:rsidP="002364FC">
      <w:pPr>
        <w:spacing w:after="0" w:line="360" w:lineRule="auto"/>
        <w:jc w:val="both"/>
        <w:rPr>
          <w:rFonts w:cs="Times New Roman"/>
          <w:szCs w:val="24"/>
        </w:rPr>
      </w:pPr>
    </w:p>
    <w:p w14:paraId="30342849" w14:textId="4086884A" w:rsidR="002364FC" w:rsidRPr="00893253" w:rsidRDefault="002364FC" w:rsidP="002364FC">
      <w:pPr>
        <w:spacing w:after="0" w:line="360" w:lineRule="auto"/>
        <w:jc w:val="both"/>
        <w:rPr>
          <w:rFonts w:cs="Times New Roman"/>
          <w:szCs w:val="24"/>
        </w:rPr>
      </w:pPr>
      <w:r w:rsidRPr="002611FE">
        <w:rPr>
          <w:rFonts w:cs="Times New Roman"/>
          <w:szCs w:val="24"/>
          <w:lang w:val="en-US"/>
        </w:rPr>
        <w:t xml:space="preserve">World Bank. (2021). Digital transformation of microenterprises in Latin America. </w:t>
      </w:r>
      <w:r w:rsidRPr="00893253">
        <w:rPr>
          <w:rFonts w:cs="Times New Roman"/>
          <w:szCs w:val="24"/>
        </w:rPr>
        <w:t xml:space="preserve">World Bank </w:t>
      </w:r>
      <w:proofErr w:type="spellStart"/>
      <w:proofErr w:type="gramStart"/>
      <w:r w:rsidRPr="00893253">
        <w:rPr>
          <w:rFonts w:cs="Times New Roman"/>
          <w:szCs w:val="24"/>
        </w:rPr>
        <w:t>Publications</w:t>
      </w:r>
      <w:proofErr w:type="spellEnd"/>
      <w:r w:rsidR="00C4747B" w:rsidRPr="00893253">
        <w:rPr>
          <w:rFonts w:cs="Times New Roman"/>
          <w:szCs w:val="24"/>
        </w:rPr>
        <w:t xml:space="preserve">  </w:t>
      </w:r>
      <w:r w:rsidRPr="00893253">
        <w:rPr>
          <w:rFonts w:cs="Times New Roman"/>
          <w:szCs w:val="24"/>
        </w:rPr>
        <w:t>.</w:t>
      </w:r>
      <w:proofErr w:type="gramEnd"/>
      <w:r w:rsidRPr="00893253">
        <w:rPr>
          <w:rFonts w:cs="Times New Roman"/>
          <w:szCs w:val="24"/>
        </w:rPr>
        <w:t xml:space="preserve"> </w:t>
      </w:r>
      <w:hyperlink r:id="rId38" w:history="1">
        <w:r w:rsidR="00C4747B" w:rsidRPr="00893253">
          <w:rPr>
            <w:rStyle w:val="Hipervnculo"/>
            <w:rFonts w:cs="Times New Roman"/>
            <w:szCs w:val="24"/>
          </w:rPr>
          <w:t>https://doi.org/10.1596/978-1-4648-1656-4</w:t>
        </w:r>
      </w:hyperlink>
    </w:p>
    <w:p w14:paraId="0F080DE8" w14:textId="77777777" w:rsidR="00C4747B" w:rsidRPr="00893253" w:rsidRDefault="00C4747B" w:rsidP="002364FC">
      <w:pPr>
        <w:spacing w:after="0" w:line="360" w:lineRule="auto"/>
        <w:jc w:val="both"/>
        <w:rPr>
          <w:rFonts w:cs="Times New Roman"/>
          <w:szCs w:val="24"/>
        </w:rPr>
      </w:pPr>
    </w:p>
    <w:p w14:paraId="36B4271C" w14:textId="0505029C" w:rsidR="009A18AA" w:rsidRPr="00893253" w:rsidRDefault="009A18AA" w:rsidP="000D1D85">
      <w:pPr>
        <w:spacing w:after="0" w:line="360" w:lineRule="auto"/>
        <w:jc w:val="both"/>
        <w:rPr>
          <w:rFonts w:cs="Times New Roman"/>
          <w:szCs w:val="24"/>
        </w:rPr>
      </w:pPr>
    </w:p>
    <w:p w14:paraId="0E77454C" w14:textId="20B76541" w:rsidR="00A75F96" w:rsidRPr="00893253" w:rsidRDefault="00A75F96" w:rsidP="000D1D85">
      <w:pPr>
        <w:spacing w:after="0" w:line="360" w:lineRule="auto"/>
        <w:jc w:val="both"/>
        <w:rPr>
          <w:rFonts w:cs="Times New Roman"/>
          <w:szCs w:val="24"/>
        </w:rPr>
      </w:pPr>
      <w:r w:rsidRPr="00893253">
        <w:rPr>
          <w:rFonts w:cs="Times New Roman"/>
          <w:szCs w:val="24"/>
        </w:rPr>
        <w:t>Anexos</w:t>
      </w:r>
    </w:p>
    <w:p w14:paraId="10AA20E5" w14:textId="77777777" w:rsidR="00A75F96" w:rsidRPr="00893253" w:rsidRDefault="00A75F96" w:rsidP="000D1D85">
      <w:pPr>
        <w:spacing w:after="0" w:line="360" w:lineRule="auto"/>
        <w:jc w:val="both"/>
        <w:rPr>
          <w:rFonts w:cs="Times New Roman"/>
          <w:szCs w:val="24"/>
        </w:rPr>
      </w:pPr>
      <w:r w:rsidRPr="00893253">
        <w:rPr>
          <w:rFonts w:cs="Times New Roman"/>
          <w:szCs w:val="24"/>
        </w:rPr>
        <w:t>Figura 1. Modelo estructural de organizaciones saludables en microempresas colombianas</w:t>
      </w:r>
    </w:p>
    <w:p w14:paraId="69BCB214" w14:textId="77777777" w:rsidR="00A75F96" w:rsidRPr="00893253" w:rsidRDefault="00F40347" w:rsidP="000D1D85">
      <w:pPr>
        <w:spacing w:after="0" w:line="360" w:lineRule="auto"/>
        <w:jc w:val="both"/>
        <w:rPr>
          <w:rFonts w:cs="Times New Roman"/>
          <w:szCs w:val="24"/>
        </w:rPr>
      </w:pPr>
      <w:r w:rsidRPr="00893253">
        <w:rPr>
          <w:rFonts w:cs="Times New Roman"/>
          <w:noProof/>
          <w:szCs w:val="24"/>
        </w:rPr>
        <w:lastRenderedPageBreak/>
        <w:drawing>
          <wp:inline distT="0" distB="0" distL="0" distR="0" wp14:anchorId="0EC03AEC" wp14:editId="7FA118B7">
            <wp:extent cx="4544059" cy="3057952"/>
            <wp:effectExtent l="0" t="0" r="0" b="9525"/>
            <wp:docPr id="18763790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92670" name=""/>
                    <pic:cNvPicPr/>
                  </pic:nvPicPr>
                  <pic:blipFill>
                    <a:blip r:embed="rId39"/>
                    <a:stretch>
                      <a:fillRect/>
                    </a:stretch>
                  </pic:blipFill>
                  <pic:spPr>
                    <a:xfrm>
                      <a:off x="0" y="0"/>
                      <a:ext cx="4544059" cy="3057952"/>
                    </a:xfrm>
                    <a:prstGeom prst="rect">
                      <a:avLst/>
                    </a:prstGeom>
                  </pic:spPr>
                </pic:pic>
              </a:graphicData>
            </a:graphic>
          </wp:inline>
        </w:drawing>
      </w:r>
    </w:p>
    <w:p w14:paraId="07088EA6" w14:textId="77777777" w:rsidR="00F40347" w:rsidRPr="00893253" w:rsidRDefault="00F40347" w:rsidP="000D1D85">
      <w:pPr>
        <w:spacing w:after="0" w:line="360" w:lineRule="auto"/>
        <w:jc w:val="both"/>
        <w:rPr>
          <w:rFonts w:cs="Times New Roman"/>
          <w:szCs w:val="24"/>
        </w:rPr>
      </w:pPr>
      <w:r w:rsidRPr="00893253">
        <w:rPr>
          <w:rFonts w:cs="Times New Roman"/>
          <w:szCs w:val="24"/>
        </w:rPr>
        <w:t xml:space="preserve">Fuente: Elaboración propia a partir del análisis con </w:t>
      </w:r>
      <w:proofErr w:type="spellStart"/>
      <w:r w:rsidRPr="00893253">
        <w:rPr>
          <w:rFonts w:cs="Times New Roman"/>
          <w:szCs w:val="24"/>
        </w:rPr>
        <w:t>SmartPLS</w:t>
      </w:r>
      <w:proofErr w:type="spellEnd"/>
      <w:r w:rsidRPr="00893253">
        <w:rPr>
          <w:rFonts w:cs="Times New Roman"/>
          <w:szCs w:val="24"/>
        </w:rPr>
        <w:t xml:space="preserve"> 4.0.</w:t>
      </w:r>
    </w:p>
    <w:p w14:paraId="6E552090" w14:textId="77777777" w:rsidR="00F40347" w:rsidRPr="00893253" w:rsidRDefault="00F40347" w:rsidP="000D1D85">
      <w:pPr>
        <w:spacing w:after="0" w:line="360" w:lineRule="auto"/>
        <w:jc w:val="both"/>
        <w:rPr>
          <w:rFonts w:cs="Times New Roman"/>
          <w:szCs w:val="24"/>
        </w:rPr>
      </w:pPr>
    </w:p>
    <w:p w14:paraId="52CF1F3C" w14:textId="77777777" w:rsidR="00A75F96" w:rsidRPr="00893253" w:rsidRDefault="00A75F96" w:rsidP="000D1D85">
      <w:pPr>
        <w:spacing w:after="0" w:line="360" w:lineRule="auto"/>
        <w:jc w:val="both"/>
        <w:rPr>
          <w:rFonts w:cs="Times New Roman"/>
          <w:szCs w:val="24"/>
        </w:rPr>
      </w:pPr>
      <w:r w:rsidRPr="00893253">
        <w:rPr>
          <w:rFonts w:cs="Times New Roman"/>
          <w:szCs w:val="24"/>
        </w:rPr>
        <w:t xml:space="preserve">    SP2: Compromiso Gerencial</w:t>
      </w:r>
    </w:p>
    <w:p w14:paraId="6EEE226D" w14:textId="77777777" w:rsidR="00A75F96" w:rsidRPr="00893253" w:rsidRDefault="00A75F96" w:rsidP="000D1D85">
      <w:pPr>
        <w:spacing w:after="0" w:line="360" w:lineRule="auto"/>
        <w:jc w:val="both"/>
        <w:rPr>
          <w:rFonts w:cs="Times New Roman"/>
          <w:szCs w:val="24"/>
        </w:rPr>
      </w:pPr>
      <w:r w:rsidRPr="00893253">
        <w:rPr>
          <w:rFonts w:cs="Times New Roman"/>
          <w:szCs w:val="24"/>
        </w:rPr>
        <w:t xml:space="preserve">    SP3: Sentido de Pertenencia</w:t>
      </w:r>
    </w:p>
    <w:p w14:paraId="40ABA370" w14:textId="77777777" w:rsidR="00A75F96" w:rsidRPr="00893253" w:rsidRDefault="00A75F96" w:rsidP="000D1D85">
      <w:pPr>
        <w:spacing w:after="0" w:line="360" w:lineRule="auto"/>
        <w:jc w:val="both"/>
        <w:rPr>
          <w:rFonts w:cs="Times New Roman"/>
          <w:szCs w:val="24"/>
        </w:rPr>
      </w:pPr>
      <w:r w:rsidRPr="00893253">
        <w:rPr>
          <w:rFonts w:cs="Times New Roman"/>
          <w:szCs w:val="24"/>
        </w:rPr>
        <w:t xml:space="preserve">    POS1: Apoyo Gerencial Digital</w:t>
      </w:r>
    </w:p>
    <w:p w14:paraId="13A9D2A3" w14:textId="77777777" w:rsidR="00A75F96" w:rsidRPr="00893253" w:rsidRDefault="00A75F96" w:rsidP="000D1D85">
      <w:pPr>
        <w:spacing w:after="0" w:line="360" w:lineRule="auto"/>
        <w:jc w:val="both"/>
        <w:rPr>
          <w:rFonts w:cs="Times New Roman"/>
          <w:szCs w:val="24"/>
        </w:rPr>
      </w:pPr>
      <w:r w:rsidRPr="00893253">
        <w:rPr>
          <w:rFonts w:cs="Times New Roman"/>
          <w:szCs w:val="24"/>
        </w:rPr>
        <w:t xml:space="preserve">    RO1: Redes Sociales</w:t>
      </w:r>
    </w:p>
    <w:p w14:paraId="75026D9C" w14:textId="77777777" w:rsidR="00A75F96" w:rsidRPr="00893253" w:rsidRDefault="00A75F96" w:rsidP="000D1D85">
      <w:pPr>
        <w:spacing w:after="0" w:line="360" w:lineRule="auto"/>
        <w:jc w:val="both"/>
        <w:rPr>
          <w:rFonts w:cs="Times New Roman"/>
          <w:szCs w:val="24"/>
        </w:rPr>
      </w:pPr>
      <w:r w:rsidRPr="00893253">
        <w:rPr>
          <w:rFonts w:cs="Times New Roman"/>
          <w:szCs w:val="24"/>
        </w:rPr>
        <w:t xml:space="preserve">    RO3: Herramientas Digitales</w:t>
      </w:r>
    </w:p>
    <w:p w14:paraId="7933F4ED" w14:textId="77777777" w:rsidR="00A75F96" w:rsidRPr="00893253" w:rsidRDefault="00A75F96" w:rsidP="000D1D85">
      <w:pPr>
        <w:spacing w:after="0" w:line="360" w:lineRule="auto"/>
        <w:jc w:val="both"/>
        <w:rPr>
          <w:rFonts w:cs="Times New Roman"/>
          <w:szCs w:val="24"/>
        </w:rPr>
      </w:pPr>
      <w:r w:rsidRPr="00893253">
        <w:rPr>
          <w:rFonts w:cs="Times New Roman"/>
          <w:szCs w:val="24"/>
        </w:rPr>
        <w:t xml:space="preserve">    RO2: Satisfacción del Cliente</w:t>
      </w:r>
    </w:p>
    <w:p w14:paraId="594820A8" w14:textId="77777777" w:rsidR="00F40347" w:rsidRPr="00893253" w:rsidRDefault="00F40347" w:rsidP="000D1D85">
      <w:pPr>
        <w:spacing w:after="0" w:line="360" w:lineRule="auto"/>
        <w:jc w:val="both"/>
        <w:rPr>
          <w:rFonts w:cs="Times New Roman"/>
          <w:szCs w:val="24"/>
        </w:rPr>
      </w:pPr>
    </w:p>
    <w:p w14:paraId="3F19B0E9" w14:textId="77777777" w:rsidR="00A75F96" w:rsidRPr="00893253" w:rsidRDefault="00A75F96" w:rsidP="000D1D85">
      <w:pPr>
        <w:spacing w:after="0" w:line="360" w:lineRule="auto"/>
        <w:jc w:val="both"/>
        <w:rPr>
          <w:rFonts w:cs="Times New Roman"/>
          <w:szCs w:val="24"/>
        </w:rPr>
      </w:pPr>
      <w:r w:rsidRPr="00893253">
        <w:rPr>
          <w:rFonts w:cs="Times New Roman"/>
          <w:noProof/>
          <w:szCs w:val="24"/>
        </w:rPr>
        <w:drawing>
          <wp:inline distT="0" distB="0" distL="0" distR="0" wp14:anchorId="623E3265" wp14:editId="072027BC">
            <wp:extent cx="5486400" cy="2444750"/>
            <wp:effectExtent l="0" t="0" r="0" b="0"/>
            <wp:docPr id="7564047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04759" name=""/>
                    <pic:cNvPicPr/>
                  </pic:nvPicPr>
                  <pic:blipFill>
                    <a:blip r:embed="rId40"/>
                    <a:stretch>
                      <a:fillRect/>
                    </a:stretch>
                  </pic:blipFill>
                  <pic:spPr>
                    <a:xfrm>
                      <a:off x="0" y="0"/>
                      <a:ext cx="5486400" cy="2444750"/>
                    </a:xfrm>
                    <a:prstGeom prst="rect">
                      <a:avLst/>
                    </a:prstGeom>
                  </pic:spPr>
                </pic:pic>
              </a:graphicData>
            </a:graphic>
          </wp:inline>
        </w:drawing>
      </w:r>
    </w:p>
    <w:p w14:paraId="57A4B95A" w14:textId="77777777" w:rsidR="00A75F96" w:rsidRPr="00893253" w:rsidRDefault="00A75F96" w:rsidP="000D1D85">
      <w:pPr>
        <w:spacing w:after="0" w:line="360" w:lineRule="auto"/>
        <w:jc w:val="both"/>
        <w:rPr>
          <w:rFonts w:cs="Times New Roman"/>
          <w:szCs w:val="24"/>
        </w:rPr>
      </w:pPr>
      <w:r w:rsidRPr="00893253">
        <w:rPr>
          <w:rFonts w:cs="Times New Roman"/>
          <w:noProof/>
          <w:szCs w:val="24"/>
        </w:rPr>
        <w:lastRenderedPageBreak/>
        <w:drawing>
          <wp:inline distT="0" distB="0" distL="0" distR="0" wp14:anchorId="77A0FF01" wp14:editId="7663D3E7">
            <wp:extent cx="5486400" cy="2950210"/>
            <wp:effectExtent l="0" t="0" r="0" b="2540"/>
            <wp:docPr id="20235711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571108" name=""/>
                    <pic:cNvPicPr/>
                  </pic:nvPicPr>
                  <pic:blipFill>
                    <a:blip r:embed="rId41"/>
                    <a:stretch>
                      <a:fillRect/>
                    </a:stretch>
                  </pic:blipFill>
                  <pic:spPr>
                    <a:xfrm>
                      <a:off x="0" y="0"/>
                      <a:ext cx="5486400" cy="2950210"/>
                    </a:xfrm>
                    <a:prstGeom prst="rect">
                      <a:avLst/>
                    </a:prstGeom>
                  </pic:spPr>
                </pic:pic>
              </a:graphicData>
            </a:graphic>
          </wp:inline>
        </w:drawing>
      </w:r>
    </w:p>
    <w:p w14:paraId="6567A250" w14:textId="77777777" w:rsidR="00A75F96" w:rsidRPr="00893253" w:rsidRDefault="00A75F96" w:rsidP="000D1D85">
      <w:pPr>
        <w:spacing w:after="0" w:line="360" w:lineRule="auto"/>
        <w:jc w:val="both"/>
        <w:rPr>
          <w:rFonts w:cs="Times New Roman"/>
          <w:szCs w:val="24"/>
        </w:rPr>
      </w:pPr>
    </w:p>
    <w:p w14:paraId="53CAB120" w14:textId="77777777" w:rsidR="00A058D3" w:rsidRPr="00893253" w:rsidRDefault="00A058D3" w:rsidP="000D1D85">
      <w:pPr>
        <w:spacing w:after="0" w:line="360" w:lineRule="auto"/>
        <w:jc w:val="both"/>
        <w:rPr>
          <w:rFonts w:cs="Times New Roman"/>
          <w:szCs w:val="24"/>
        </w:rPr>
      </w:pPr>
    </w:p>
    <w:p w14:paraId="21F9FF34" w14:textId="77777777" w:rsidR="00A058D3" w:rsidRPr="00893253" w:rsidRDefault="00A058D3" w:rsidP="000D1D85">
      <w:pPr>
        <w:spacing w:after="0" w:line="360" w:lineRule="auto"/>
        <w:jc w:val="both"/>
        <w:rPr>
          <w:rFonts w:cs="Times New Roman"/>
          <w:szCs w:val="24"/>
        </w:rPr>
      </w:pPr>
    </w:p>
    <w:sectPr w:rsidR="00A058D3" w:rsidRPr="00893253" w:rsidSect="005A169D">
      <w:headerReference w:type="first" r:id="rId4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9FDA" w14:textId="77777777" w:rsidR="002D3F60" w:rsidRDefault="002D3F60" w:rsidP="00487B8E">
      <w:pPr>
        <w:spacing w:after="0" w:line="240" w:lineRule="auto"/>
      </w:pPr>
      <w:r>
        <w:separator/>
      </w:r>
    </w:p>
  </w:endnote>
  <w:endnote w:type="continuationSeparator" w:id="0">
    <w:p w14:paraId="0E8B14C1" w14:textId="77777777" w:rsidR="002D3F60" w:rsidRDefault="002D3F60" w:rsidP="0048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B0BC0" w14:textId="77777777" w:rsidR="002D3F60" w:rsidRDefault="002D3F60" w:rsidP="00487B8E">
      <w:pPr>
        <w:spacing w:after="0" w:line="240" w:lineRule="auto"/>
      </w:pPr>
      <w:r>
        <w:separator/>
      </w:r>
    </w:p>
  </w:footnote>
  <w:footnote w:type="continuationSeparator" w:id="0">
    <w:p w14:paraId="03AA5A4A" w14:textId="77777777" w:rsidR="002D3F60" w:rsidRDefault="002D3F60" w:rsidP="00487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A4B6" w14:textId="65F9496F" w:rsidR="005A169D" w:rsidRPr="007A0B9A" w:rsidRDefault="005A169D" w:rsidP="005A169D">
    <w:pPr>
      <w:pStyle w:val="Encabezado"/>
      <w:jc w:val="right"/>
      <w:rPr>
        <w:sz w:val="22"/>
        <w:szCs w:val="20"/>
      </w:rPr>
    </w:pPr>
    <w:r w:rsidRPr="007A0B9A">
      <w:rPr>
        <w:sz w:val="22"/>
        <w:szCs w:val="20"/>
      </w:rPr>
      <w:t xml:space="preserve">pensamiento y gestión, </w:t>
    </w:r>
    <w:r w:rsidR="000F2186" w:rsidRPr="007A0B9A">
      <w:rPr>
        <w:sz w:val="22"/>
        <w:szCs w:val="20"/>
      </w:rPr>
      <w:t>N.º</w:t>
    </w:r>
    <w:r w:rsidRPr="007A0B9A">
      <w:rPr>
        <w:sz w:val="22"/>
        <w:szCs w:val="20"/>
      </w:rPr>
      <w:t xml:space="preserve"> 5</w:t>
    </w:r>
    <w:r>
      <w:rPr>
        <w:sz w:val="22"/>
        <w:szCs w:val="20"/>
      </w:rPr>
      <w:t>9</w:t>
    </w:r>
  </w:p>
  <w:p w14:paraId="6D0A93BC" w14:textId="77777777" w:rsidR="005A169D" w:rsidRPr="00EE6A37" w:rsidRDefault="005A169D" w:rsidP="005A169D">
    <w:pPr>
      <w:pStyle w:val="Encabezado"/>
      <w:jc w:val="right"/>
      <w:rPr>
        <w:sz w:val="22"/>
        <w:szCs w:val="20"/>
        <w:lang w:val="en-US"/>
      </w:rPr>
    </w:pPr>
    <w:r w:rsidRPr="00EE6A37">
      <w:rPr>
        <w:sz w:val="22"/>
        <w:szCs w:val="20"/>
        <w:lang w:val="en-US"/>
      </w:rPr>
      <w:t>ISSN 2145-941X (online)</w:t>
    </w:r>
  </w:p>
  <w:p w14:paraId="49D292C9" w14:textId="26746B64" w:rsidR="005A169D" w:rsidRPr="007A0B9A" w:rsidRDefault="005A169D" w:rsidP="005A169D">
    <w:pPr>
      <w:pStyle w:val="Encabezado"/>
      <w:jc w:val="right"/>
      <w:rPr>
        <w:sz w:val="22"/>
        <w:szCs w:val="20"/>
        <w:lang w:val="en-US"/>
      </w:rPr>
    </w:pPr>
    <w:r w:rsidRPr="007A0B9A">
      <w:rPr>
        <w:sz w:val="22"/>
        <w:szCs w:val="20"/>
        <w:lang w:val="en-US"/>
      </w:rPr>
      <w:t>https://dx.doi.org/</w:t>
    </w:r>
    <w:r w:rsidR="00F148DC" w:rsidRPr="00F148DC">
      <w:rPr>
        <w:sz w:val="22"/>
        <w:szCs w:val="20"/>
        <w:lang w:val="en-US"/>
      </w:rPr>
      <w:t>10.14482/pege.59.634.741</w:t>
    </w:r>
  </w:p>
  <w:p w14:paraId="06E48568" w14:textId="77777777" w:rsidR="005A169D" w:rsidRPr="00EE6A37" w:rsidRDefault="005A169D">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BA60E44"/>
    <w:multiLevelType w:val="hybridMultilevel"/>
    <w:tmpl w:val="B71067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59B0E1E"/>
    <w:multiLevelType w:val="hybridMultilevel"/>
    <w:tmpl w:val="D64220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BDE01B4"/>
    <w:multiLevelType w:val="multilevel"/>
    <w:tmpl w:val="1614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CA6779"/>
    <w:multiLevelType w:val="hybridMultilevel"/>
    <w:tmpl w:val="B268F1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D95970"/>
    <w:multiLevelType w:val="hybridMultilevel"/>
    <w:tmpl w:val="902089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6E96602"/>
    <w:multiLevelType w:val="hybridMultilevel"/>
    <w:tmpl w:val="EACE6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7F51549"/>
    <w:multiLevelType w:val="multilevel"/>
    <w:tmpl w:val="39362D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E7703A"/>
    <w:multiLevelType w:val="hybridMultilevel"/>
    <w:tmpl w:val="896C7B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D8C0B94"/>
    <w:multiLevelType w:val="hybridMultilevel"/>
    <w:tmpl w:val="BF328D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B10E82"/>
    <w:multiLevelType w:val="hybridMultilevel"/>
    <w:tmpl w:val="312EF8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E286EEA"/>
    <w:multiLevelType w:val="hybridMultilevel"/>
    <w:tmpl w:val="B03A4A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3C00D94"/>
    <w:multiLevelType w:val="hybridMultilevel"/>
    <w:tmpl w:val="0E5640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B2E1A73"/>
    <w:multiLevelType w:val="hybridMultilevel"/>
    <w:tmpl w:val="24DC51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ED04670"/>
    <w:multiLevelType w:val="hybridMultilevel"/>
    <w:tmpl w:val="ACBC2C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73706099">
    <w:abstractNumId w:val="8"/>
  </w:num>
  <w:num w:numId="2" w16cid:durableId="610550444">
    <w:abstractNumId w:val="6"/>
  </w:num>
  <w:num w:numId="3" w16cid:durableId="379279994">
    <w:abstractNumId w:val="5"/>
  </w:num>
  <w:num w:numId="4" w16cid:durableId="1170755778">
    <w:abstractNumId w:val="4"/>
  </w:num>
  <w:num w:numId="5" w16cid:durableId="725027699">
    <w:abstractNumId w:val="7"/>
  </w:num>
  <w:num w:numId="6" w16cid:durableId="1507860605">
    <w:abstractNumId w:val="3"/>
  </w:num>
  <w:num w:numId="7" w16cid:durableId="558060123">
    <w:abstractNumId w:val="2"/>
  </w:num>
  <w:num w:numId="8" w16cid:durableId="780076865">
    <w:abstractNumId w:val="1"/>
  </w:num>
  <w:num w:numId="9" w16cid:durableId="1435973328">
    <w:abstractNumId w:val="0"/>
  </w:num>
  <w:num w:numId="10" w16cid:durableId="510022943">
    <w:abstractNumId w:val="14"/>
  </w:num>
  <w:num w:numId="11" w16cid:durableId="923757419">
    <w:abstractNumId w:val="12"/>
  </w:num>
  <w:num w:numId="12" w16cid:durableId="912280276">
    <w:abstractNumId w:val="16"/>
  </w:num>
  <w:num w:numId="13" w16cid:durableId="229779478">
    <w:abstractNumId w:val="9"/>
  </w:num>
  <w:num w:numId="14" w16cid:durableId="747339483">
    <w:abstractNumId w:val="17"/>
  </w:num>
  <w:num w:numId="15" w16cid:durableId="1322006820">
    <w:abstractNumId w:val="13"/>
  </w:num>
  <w:num w:numId="16" w16cid:durableId="734821787">
    <w:abstractNumId w:val="10"/>
  </w:num>
  <w:num w:numId="17" w16cid:durableId="1024281803">
    <w:abstractNumId w:val="11"/>
  </w:num>
  <w:num w:numId="18" w16cid:durableId="177893392">
    <w:abstractNumId w:val="19"/>
  </w:num>
  <w:num w:numId="19" w16cid:durableId="1621255457">
    <w:abstractNumId w:val="21"/>
  </w:num>
  <w:num w:numId="20" w16cid:durableId="824784059">
    <w:abstractNumId w:val="18"/>
  </w:num>
  <w:num w:numId="21" w16cid:durableId="188832552">
    <w:abstractNumId w:val="22"/>
  </w:num>
  <w:num w:numId="22" w16cid:durableId="863862426">
    <w:abstractNumId w:val="15"/>
  </w:num>
  <w:num w:numId="23" w16cid:durableId="21360192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316"/>
    <w:rsid w:val="00034616"/>
    <w:rsid w:val="0006063C"/>
    <w:rsid w:val="000B11CE"/>
    <w:rsid w:val="000B6D84"/>
    <w:rsid w:val="000B6F7C"/>
    <w:rsid w:val="000C2B72"/>
    <w:rsid w:val="000C30CB"/>
    <w:rsid w:val="000D1D85"/>
    <w:rsid w:val="000F2186"/>
    <w:rsid w:val="001179A3"/>
    <w:rsid w:val="0012678A"/>
    <w:rsid w:val="00131F3C"/>
    <w:rsid w:val="00132217"/>
    <w:rsid w:val="001356FD"/>
    <w:rsid w:val="0015074B"/>
    <w:rsid w:val="001652E3"/>
    <w:rsid w:val="00166DC5"/>
    <w:rsid w:val="00180C6C"/>
    <w:rsid w:val="0018444D"/>
    <w:rsid w:val="0019224F"/>
    <w:rsid w:val="00196F44"/>
    <w:rsid w:val="001A66A8"/>
    <w:rsid w:val="001D2856"/>
    <w:rsid w:val="001E244D"/>
    <w:rsid w:val="001E2A80"/>
    <w:rsid w:val="001F47FD"/>
    <w:rsid w:val="00202318"/>
    <w:rsid w:val="00202EBC"/>
    <w:rsid w:val="00217D65"/>
    <w:rsid w:val="00235208"/>
    <w:rsid w:val="002364FC"/>
    <w:rsid w:val="002611FE"/>
    <w:rsid w:val="00264B8F"/>
    <w:rsid w:val="00274A3E"/>
    <w:rsid w:val="00284886"/>
    <w:rsid w:val="0029639D"/>
    <w:rsid w:val="002972B0"/>
    <w:rsid w:val="002A3230"/>
    <w:rsid w:val="002B64E7"/>
    <w:rsid w:val="002C2110"/>
    <w:rsid w:val="002D3F60"/>
    <w:rsid w:val="003203B1"/>
    <w:rsid w:val="003264CF"/>
    <w:rsid w:val="00326F90"/>
    <w:rsid w:val="003449DB"/>
    <w:rsid w:val="00345940"/>
    <w:rsid w:val="003531E2"/>
    <w:rsid w:val="00363AE6"/>
    <w:rsid w:val="00366953"/>
    <w:rsid w:val="00407F98"/>
    <w:rsid w:val="00413F6C"/>
    <w:rsid w:val="00426A2F"/>
    <w:rsid w:val="0045193E"/>
    <w:rsid w:val="00456715"/>
    <w:rsid w:val="0047042B"/>
    <w:rsid w:val="0048210A"/>
    <w:rsid w:val="00487B8E"/>
    <w:rsid w:val="004C2255"/>
    <w:rsid w:val="004F2CFE"/>
    <w:rsid w:val="00502126"/>
    <w:rsid w:val="00524EA0"/>
    <w:rsid w:val="005453D3"/>
    <w:rsid w:val="00546D17"/>
    <w:rsid w:val="00570B32"/>
    <w:rsid w:val="005734F1"/>
    <w:rsid w:val="005A169D"/>
    <w:rsid w:val="005C0628"/>
    <w:rsid w:val="005C63E5"/>
    <w:rsid w:val="005D4511"/>
    <w:rsid w:val="0063600D"/>
    <w:rsid w:val="006642A5"/>
    <w:rsid w:val="006A1A2D"/>
    <w:rsid w:val="006B0EDE"/>
    <w:rsid w:val="006B5319"/>
    <w:rsid w:val="006C0E31"/>
    <w:rsid w:val="006D1B83"/>
    <w:rsid w:val="006E30E2"/>
    <w:rsid w:val="006F0E00"/>
    <w:rsid w:val="006F3F9E"/>
    <w:rsid w:val="006F679F"/>
    <w:rsid w:val="007075B7"/>
    <w:rsid w:val="00713D4E"/>
    <w:rsid w:val="00724C91"/>
    <w:rsid w:val="007307AA"/>
    <w:rsid w:val="007341FA"/>
    <w:rsid w:val="00752EDC"/>
    <w:rsid w:val="007A0B9A"/>
    <w:rsid w:val="007C2492"/>
    <w:rsid w:val="007F7E31"/>
    <w:rsid w:val="0080056F"/>
    <w:rsid w:val="008225A4"/>
    <w:rsid w:val="00822BEE"/>
    <w:rsid w:val="0084150A"/>
    <w:rsid w:val="00853C91"/>
    <w:rsid w:val="00873098"/>
    <w:rsid w:val="00893253"/>
    <w:rsid w:val="008A2EC6"/>
    <w:rsid w:val="008D0671"/>
    <w:rsid w:val="00905240"/>
    <w:rsid w:val="00905887"/>
    <w:rsid w:val="0091459F"/>
    <w:rsid w:val="00930A7C"/>
    <w:rsid w:val="009356D3"/>
    <w:rsid w:val="00936473"/>
    <w:rsid w:val="00954332"/>
    <w:rsid w:val="00963998"/>
    <w:rsid w:val="009730DF"/>
    <w:rsid w:val="009768D3"/>
    <w:rsid w:val="009A18AA"/>
    <w:rsid w:val="009A2F52"/>
    <w:rsid w:val="009B3A7B"/>
    <w:rsid w:val="009F59DC"/>
    <w:rsid w:val="00A058D3"/>
    <w:rsid w:val="00A16E97"/>
    <w:rsid w:val="00A17A79"/>
    <w:rsid w:val="00A3608B"/>
    <w:rsid w:val="00A64C10"/>
    <w:rsid w:val="00A70ABE"/>
    <w:rsid w:val="00A75F96"/>
    <w:rsid w:val="00AA144B"/>
    <w:rsid w:val="00AA1D8D"/>
    <w:rsid w:val="00AA60C0"/>
    <w:rsid w:val="00AD023A"/>
    <w:rsid w:val="00AD3DF1"/>
    <w:rsid w:val="00B060A2"/>
    <w:rsid w:val="00B20899"/>
    <w:rsid w:val="00B40FE7"/>
    <w:rsid w:val="00B42CA5"/>
    <w:rsid w:val="00B47730"/>
    <w:rsid w:val="00B6776E"/>
    <w:rsid w:val="00B755E2"/>
    <w:rsid w:val="00BB10A3"/>
    <w:rsid w:val="00BB18B4"/>
    <w:rsid w:val="00BB19E0"/>
    <w:rsid w:val="00BC2974"/>
    <w:rsid w:val="00BD64A1"/>
    <w:rsid w:val="00BE41DD"/>
    <w:rsid w:val="00C33751"/>
    <w:rsid w:val="00C4747B"/>
    <w:rsid w:val="00C80578"/>
    <w:rsid w:val="00CB0664"/>
    <w:rsid w:val="00CB13D6"/>
    <w:rsid w:val="00CD58CE"/>
    <w:rsid w:val="00CF017F"/>
    <w:rsid w:val="00CF5B4E"/>
    <w:rsid w:val="00D10040"/>
    <w:rsid w:val="00D335F3"/>
    <w:rsid w:val="00D33D83"/>
    <w:rsid w:val="00D51BE8"/>
    <w:rsid w:val="00D538A6"/>
    <w:rsid w:val="00D64BB8"/>
    <w:rsid w:val="00D867C9"/>
    <w:rsid w:val="00D946E1"/>
    <w:rsid w:val="00D9667B"/>
    <w:rsid w:val="00DB1687"/>
    <w:rsid w:val="00DE1FAF"/>
    <w:rsid w:val="00E21FDC"/>
    <w:rsid w:val="00E77FCE"/>
    <w:rsid w:val="00ED73CF"/>
    <w:rsid w:val="00EE222A"/>
    <w:rsid w:val="00EE6A37"/>
    <w:rsid w:val="00F148DC"/>
    <w:rsid w:val="00F35679"/>
    <w:rsid w:val="00F40347"/>
    <w:rsid w:val="00F818BA"/>
    <w:rsid w:val="00F8216A"/>
    <w:rsid w:val="00FC693F"/>
    <w:rsid w:val="00FE44F5"/>
    <w:rsid w:val="00FF4BE7"/>
    <w:rsid w:val="00FF6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EE7F7"/>
  <w14:defaultImageDpi w14:val="330"/>
  <w15:docId w15:val="{5C6767D8-80D8-42BF-AE45-7BAF786B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53"/>
    <w:rPr>
      <w:rFonts w:ascii="Times New Roman" w:hAnsi="Times New Roman"/>
      <w:sz w:val="24"/>
      <w:lang w:val="es-ES"/>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366953"/>
    <w:rPr>
      <w:color w:val="0000FF" w:themeColor="hyperlink"/>
      <w:u w:val="single"/>
    </w:rPr>
  </w:style>
  <w:style w:type="character" w:styleId="Mencinsinresolver">
    <w:name w:val="Unresolved Mention"/>
    <w:basedOn w:val="Fuentedeprrafopredeter"/>
    <w:uiPriority w:val="99"/>
    <w:semiHidden/>
    <w:unhideWhenUsed/>
    <w:rsid w:val="00366953"/>
    <w:rPr>
      <w:color w:val="605E5C"/>
      <w:shd w:val="clear" w:color="auto" w:fill="E1DFDD"/>
    </w:rPr>
  </w:style>
  <w:style w:type="paragraph" w:styleId="NormalWeb">
    <w:name w:val="Normal (Web)"/>
    <w:basedOn w:val="Normal"/>
    <w:uiPriority w:val="99"/>
    <w:semiHidden/>
    <w:unhideWhenUsed/>
    <w:rsid w:val="00274A3E"/>
    <w:rPr>
      <w:rFonts w:cs="Times New Roman"/>
      <w:szCs w:val="24"/>
    </w:rPr>
  </w:style>
  <w:style w:type="character" w:styleId="Hipervnculovisitado">
    <w:name w:val="FollowedHyperlink"/>
    <w:basedOn w:val="Fuentedeprrafopredeter"/>
    <w:uiPriority w:val="99"/>
    <w:semiHidden/>
    <w:unhideWhenUsed/>
    <w:rsid w:val="00AA144B"/>
    <w:rPr>
      <w:color w:val="800080" w:themeColor="followedHyperlink"/>
      <w:u w:val="single"/>
    </w:rPr>
  </w:style>
  <w:style w:type="character" w:styleId="Refdecomentario">
    <w:name w:val="annotation reference"/>
    <w:basedOn w:val="Fuentedeprrafopredeter"/>
    <w:uiPriority w:val="99"/>
    <w:semiHidden/>
    <w:unhideWhenUsed/>
    <w:rsid w:val="009F59DC"/>
    <w:rPr>
      <w:sz w:val="16"/>
      <w:szCs w:val="16"/>
    </w:rPr>
  </w:style>
  <w:style w:type="paragraph" w:styleId="Textocomentario">
    <w:name w:val="annotation text"/>
    <w:basedOn w:val="Normal"/>
    <w:link w:val="TextocomentarioCar"/>
    <w:uiPriority w:val="99"/>
    <w:semiHidden/>
    <w:unhideWhenUsed/>
    <w:rsid w:val="009F59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59DC"/>
    <w:rPr>
      <w:rFonts w:ascii="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9F59DC"/>
    <w:rPr>
      <w:b/>
      <w:bCs/>
    </w:rPr>
  </w:style>
  <w:style w:type="character" w:customStyle="1" w:styleId="AsuntodelcomentarioCar">
    <w:name w:val="Asunto del comentario Car"/>
    <w:basedOn w:val="TextocomentarioCar"/>
    <w:link w:val="Asuntodelcomentario"/>
    <w:uiPriority w:val="99"/>
    <w:semiHidden/>
    <w:rsid w:val="009F59DC"/>
    <w:rPr>
      <w:rFonts w:ascii="Times New Roman" w:hAnsi="Times New Roman"/>
      <w:b/>
      <w:bCs/>
      <w:sz w:val="20"/>
      <w:szCs w:val="20"/>
      <w:lang w:val="es-ES"/>
    </w:rPr>
  </w:style>
  <w:style w:type="paragraph" w:styleId="Textonotaalfinal">
    <w:name w:val="endnote text"/>
    <w:basedOn w:val="Normal"/>
    <w:link w:val="TextonotaalfinalCar"/>
    <w:uiPriority w:val="99"/>
    <w:semiHidden/>
    <w:unhideWhenUsed/>
    <w:rsid w:val="009F59D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F59DC"/>
    <w:rPr>
      <w:rFonts w:ascii="Times New Roman" w:hAnsi="Times New Roman"/>
      <w:sz w:val="20"/>
      <w:szCs w:val="20"/>
      <w:lang w:val="es-ES"/>
    </w:rPr>
  </w:style>
  <w:style w:type="character" w:styleId="Refdenotaalfinal">
    <w:name w:val="endnote reference"/>
    <w:basedOn w:val="Fuentedeprrafopredeter"/>
    <w:uiPriority w:val="99"/>
    <w:semiHidden/>
    <w:unhideWhenUsed/>
    <w:rsid w:val="009F59DC"/>
    <w:rPr>
      <w:vertAlign w:val="superscript"/>
    </w:rPr>
  </w:style>
  <w:style w:type="paragraph" w:styleId="Textonotapie">
    <w:name w:val="footnote text"/>
    <w:basedOn w:val="Normal"/>
    <w:link w:val="TextonotapieCar"/>
    <w:uiPriority w:val="99"/>
    <w:semiHidden/>
    <w:unhideWhenUsed/>
    <w:rsid w:val="009F59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59DC"/>
    <w:rPr>
      <w:rFonts w:ascii="Times New Roman" w:hAnsi="Times New Roman"/>
      <w:sz w:val="20"/>
      <w:szCs w:val="20"/>
      <w:lang w:val="es-ES"/>
    </w:rPr>
  </w:style>
  <w:style w:type="character" w:styleId="Refdenotaalpie">
    <w:name w:val="footnote reference"/>
    <w:basedOn w:val="Fuentedeprrafopredeter"/>
    <w:uiPriority w:val="99"/>
    <w:semiHidden/>
    <w:unhideWhenUsed/>
    <w:rsid w:val="009F59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362570">
      <w:bodyDiv w:val="1"/>
      <w:marLeft w:val="0"/>
      <w:marRight w:val="0"/>
      <w:marTop w:val="0"/>
      <w:marBottom w:val="0"/>
      <w:divBdr>
        <w:top w:val="none" w:sz="0" w:space="0" w:color="auto"/>
        <w:left w:val="none" w:sz="0" w:space="0" w:color="auto"/>
        <w:bottom w:val="none" w:sz="0" w:space="0" w:color="auto"/>
        <w:right w:val="none" w:sz="0" w:space="0" w:color="auto"/>
      </w:divBdr>
    </w:div>
    <w:div w:id="1081564151">
      <w:bodyDiv w:val="1"/>
      <w:marLeft w:val="0"/>
      <w:marRight w:val="0"/>
      <w:marTop w:val="0"/>
      <w:marBottom w:val="0"/>
      <w:divBdr>
        <w:top w:val="none" w:sz="0" w:space="0" w:color="auto"/>
        <w:left w:val="none" w:sz="0" w:space="0" w:color="auto"/>
        <w:bottom w:val="none" w:sz="0" w:space="0" w:color="auto"/>
        <w:right w:val="none" w:sz="0" w:space="0" w:color="auto"/>
      </w:divBdr>
    </w:div>
    <w:div w:id="1268270859">
      <w:bodyDiv w:val="1"/>
      <w:marLeft w:val="0"/>
      <w:marRight w:val="0"/>
      <w:marTop w:val="0"/>
      <w:marBottom w:val="0"/>
      <w:divBdr>
        <w:top w:val="none" w:sz="0" w:space="0" w:color="auto"/>
        <w:left w:val="none" w:sz="0" w:space="0" w:color="auto"/>
        <w:bottom w:val="none" w:sz="0" w:space="0" w:color="auto"/>
        <w:right w:val="none" w:sz="0" w:space="0" w:color="auto"/>
      </w:divBdr>
    </w:div>
    <w:div w:id="1486315331">
      <w:bodyDiv w:val="1"/>
      <w:marLeft w:val="0"/>
      <w:marRight w:val="0"/>
      <w:marTop w:val="0"/>
      <w:marBottom w:val="0"/>
      <w:divBdr>
        <w:top w:val="none" w:sz="0" w:space="0" w:color="auto"/>
        <w:left w:val="none" w:sz="0" w:space="0" w:color="auto"/>
        <w:bottom w:val="none" w:sz="0" w:space="0" w:color="auto"/>
        <w:right w:val="none" w:sz="0" w:space="0" w:color="auto"/>
      </w:divBdr>
    </w:div>
    <w:div w:id="1788088062">
      <w:bodyDiv w:val="1"/>
      <w:marLeft w:val="0"/>
      <w:marRight w:val="0"/>
      <w:marTop w:val="0"/>
      <w:marBottom w:val="0"/>
      <w:divBdr>
        <w:top w:val="none" w:sz="0" w:space="0" w:color="auto"/>
        <w:left w:val="none" w:sz="0" w:space="0" w:color="auto"/>
        <w:bottom w:val="none" w:sz="0" w:space="0" w:color="auto"/>
        <w:right w:val="none" w:sz="0" w:space="0" w:color="auto"/>
      </w:divBdr>
    </w:div>
    <w:div w:id="2122722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ocp0000056" TargetMode="External"/><Relationship Id="rId18" Type="http://schemas.openxmlformats.org/officeDocument/2006/relationships/hyperlink" Target="https://doi.org/10.18046/j.estger.2021.158.429" TargetMode="External"/><Relationship Id="rId26" Type="http://schemas.openxmlformats.org/officeDocument/2006/relationships/hyperlink" Target="https://doi.org/10.1080/03003930.2019.1690995" TargetMode="External"/><Relationship Id="rId39" Type="http://schemas.openxmlformats.org/officeDocument/2006/relationships/image" Target="media/image2.png"/><Relationship Id="rId21" Type="http://schemas.openxmlformats.org/officeDocument/2006/relationships/hyperlink" Target="https://doi.org/10.1016/j.ree.2019.05.005" TargetMode="External"/><Relationship Id="rId34" Type="http://schemas.openxmlformats.org/officeDocument/2006/relationships/hyperlink" Target="https://doi.org/10.1177/1059601112470405"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7811/cl_rcm.v6i2.2032" TargetMode="External"/><Relationship Id="rId20" Type="http://schemas.openxmlformats.org/officeDocument/2006/relationships/hyperlink" Target="https://doi.org/10.18046/j.estger.2020.157.4020" TargetMode="External"/><Relationship Id="rId29" Type="http://schemas.openxmlformats.org/officeDocument/2006/relationships/hyperlink" Target="https://repository.iom.int/bitstream/handle/20.500.11788/2409/4.%20C%C3%BAcuta_Diagn%C3%B3stico%20Socioecn%C3%B3mico.pdf.pdf?sequence=15&amp;isAllowed=y" TargetMode="Externa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2281-5449" TargetMode="External"/><Relationship Id="rId24" Type="http://schemas.openxmlformats.org/officeDocument/2006/relationships/hyperlink" Target="https://rinacional.tecnm.mx/jspui/handle/TecNM/8152" TargetMode="External"/><Relationship Id="rId32" Type="http://schemas.openxmlformats.org/officeDocument/2006/relationships/hyperlink" Target="https://doi.org/10.1145/358916.361990" TargetMode="External"/><Relationship Id="rId37" Type="http://schemas.openxmlformats.org/officeDocument/2006/relationships/hyperlink" Target="https://doi.org/10.1007/978-3-319-05542-8_15-2" TargetMode="External"/><Relationship Id="rId40"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dx.doi.org/10.1086/228943" TargetMode="External"/><Relationship Id="rId23" Type="http://schemas.openxmlformats.org/officeDocument/2006/relationships/hyperlink" Target="https://link.springer.com/article/10.1007/s11747-014-0403-8" TargetMode="External"/><Relationship Id="rId28" Type="http://schemas.openxmlformats.org/officeDocument/2006/relationships/hyperlink" Target="http://staffweb.hkbu.edu.hk/vwschow/lectures/ism3620/rp01.pdf" TargetMode="External"/><Relationship Id="rId36" Type="http://schemas.openxmlformats.org/officeDocument/2006/relationships/hyperlink" Target="https://journals.copmadrid.org/jwop/files/63236.pdf" TargetMode="External"/><Relationship Id="rId10" Type="http://schemas.openxmlformats.org/officeDocument/2006/relationships/hyperlink" Target="mailto:maryluz@unipamplona.edu.co" TargetMode="External"/><Relationship Id="rId19" Type="http://schemas.openxmlformats.org/officeDocument/2006/relationships/hyperlink" Target="https://doi.org/10.5093/jwop2020a4" TargetMode="External"/><Relationship Id="rId31" Type="http://schemas.openxmlformats.org/officeDocument/2006/relationships/hyperlink" Target="https://www.undp.org/es/colombia/publicaciones/documento-analisis-mercado-laboral-poblacion-migrant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1321-5110" TargetMode="External"/><Relationship Id="rId14" Type="http://schemas.openxmlformats.org/officeDocument/2006/relationships/hyperlink" Target="https://www.marxists.org/reference/subject/philosophy/works/fr/bourdieu-forms-capital.htm" TargetMode="External"/><Relationship Id="rId22" Type="http://schemas.openxmlformats.org/officeDocument/2006/relationships/hyperlink" Target="https://doi.org/10.1007/978-3-030-80519-7" TargetMode="External"/><Relationship Id="rId27" Type="http://schemas.openxmlformats.org/officeDocument/2006/relationships/hyperlink" Target="https://doi.org/10.5093/jwop2020a4" TargetMode="External"/><Relationship Id="rId30" Type="http://schemas.openxmlformats.org/officeDocument/2006/relationships/hyperlink" Target="https://www.ilo.org/" TargetMode="External"/><Relationship Id="rId35" Type="http://schemas.openxmlformats.org/officeDocument/2006/relationships/hyperlink" Target="https://www.redalyc.org/pdf/778/77847916004.pdf" TargetMode="External"/><Relationship Id="rId43" Type="http://schemas.openxmlformats.org/officeDocument/2006/relationships/fontTable" Target="fontTable.xml"/><Relationship Id="rId8" Type="http://schemas.openxmlformats.org/officeDocument/2006/relationships/hyperlink" Target="mailto:lmherrera@unipamplona.edu.co"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4198/OBETS2017.12.1.07" TargetMode="External"/><Relationship Id="rId25" Type="http://schemas.openxmlformats.org/officeDocument/2006/relationships/hyperlink" Target="https://doi.org/10.1007/s10869-018-9552-3" TargetMode="External"/><Relationship Id="rId33" Type="http://schemas.openxmlformats.org/officeDocument/2006/relationships/hyperlink" Target="https://doi.org/10.15446/innovar.v31n81.95042" TargetMode="External"/><Relationship Id="rId38" Type="http://schemas.openxmlformats.org/officeDocument/2006/relationships/hyperlink" Target="https://doi.org/10.1596/978-1-4648-16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8664</Words>
  <Characters>47653</Characters>
  <Application>Microsoft Office Word</Application>
  <DocSecurity>0</DocSecurity>
  <Lines>397</Lines>
  <Paragraphs>112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Juliette Eljure</cp:lastModifiedBy>
  <cp:revision>2</cp:revision>
  <dcterms:created xsi:type="dcterms:W3CDTF">2026-05-26T00:51:00Z</dcterms:created>
  <dcterms:modified xsi:type="dcterms:W3CDTF">2026-05-26T00:51:00Z</dcterms:modified>
  <cp:category/>
</cp:coreProperties>
</file>